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C25" w:rsidRDefault="0023080D">
      <w:bookmarkStart w:id="0" w:name="_Toc158441828"/>
      <w:r w:rsidRPr="0023080D">
        <w:rPr>
          <w:noProof/>
          <w:sz w:val="20"/>
        </w:rPr>
        <w:pict>
          <v:shapetype id="_x0000_t202" coordsize="21600,21600" o:spt="202" path="m,l,21600r21600,l21600,xe">
            <v:stroke joinstyle="miter"/>
            <v:path gradientshapeok="t" o:connecttype="rect"/>
          </v:shapetype>
          <v:shape id="_x0000_s1026" type="#_x0000_t202" style="position:absolute;margin-left:51.3pt;margin-top:0;width:410.4pt;height:54pt;z-index:2" filled="f" stroked="f">
            <v:textbox style="mso-next-textbox:#_x0000_s1026">
              <w:txbxContent>
                <w:p w:rsidR="00042826" w:rsidRPr="00F31F0A" w:rsidRDefault="00042826" w:rsidP="00F31F0A">
                  <w:pPr>
                    <w:rPr>
                      <w:color w:val="002060"/>
                      <w:sz w:val="40"/>
                      <w:szCs w:val="40"/>
                    </w:rPr>
                  </w:pPr>
                  <w:bookmarkStart w:id="1" w:name="_Toc205091793"/>
                  <w:r w:rsidRPr="00F31F0A">
                    <w:rPr>
                      <w:rFonts w:ascii="CG Omega" w:hAnsi="CG Omega"/>
                      <w:b/>
                      <w:color w:val="002060"/>
                      <w:sz w:val="40"/>
                      <w:szCs w:val="40"/>
                    </w:rPr>
                    <w:t>The Centre for Spatial Economics</w:t>
                  </w:r>
                  <w:bookmarkEnd w:id="1"/>
                </w:p>
                <w:p w:rsidR="00042826" w:rsidRDefault="00042826">
                  <w:pPr>
                    <w:pStyle w:val="NormalWeb"/>
                    <w:spacing w:before="0" w:beforeAutospacing="0" w:after="0" w:afterAutospacing="0"/>
                  </w:pPr>
                  <w:r>
                    <w:rPr>
                      <w:rFonts w:ascii="Arial" w:hAnsi="Arial" w:cs="Arial"/>
                      <w:b/>
                      <w:bCs/>
                      <w:i/>
                      <w:iCs/>
                      <w:color w:val="003399"/>
                      <w:sz w:val="20"/>
                      <w:szCs w:val="20"/>
                    </w:rPr>
                    <w:t>Assessing past, present and future economic and demographic change in Canada</w:t>
                  </w:r>
                </w:p>
              </w:txbxContent>
            </v:textbox>
          </v:shape>
        </w:pict>
      </w:r>
      <w:r w:rsidR="00C247C0">
        <w:rPr>
          <w:noProof/>
          <w:sz w:val="20"/>
          <w:lang w:eastAsia="en-CA"/>
        </w:rPr>
        <w:drawing>
          <wp:inline distT="0" distB="0" distL="0" distR="0">
            <wp:extent cx="5715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901C25" w:rsidRDefault="00901C25">
      <w:pPr>
        <w:pStyle w:val="Header"/>
        <w:tabs>
          <w:tab w:val="clear" w:pos="4320"/>
          <w:tab w:val="clear" w:pos="8640"/>
        </w:tabs>
      </w:pPr>
    </w:p>
    <w:p w:rsidR="00901C25" w:rsidRDefault="00901C25"/>
    <w:p w:rsidR="00901C25" w:rsidRPr="00D370C8" w:rsidRDefault="00140AE3">
      <w:pPr>
        <w:pBdr>
          <w:bottom w:val="single" w:sz="4" w:space="1" w:color="auto"/>
        </w:pBdr>
        <w:ind w:right="2997"/>
        <w:rPr>
          <w:rFonts w:ascii="CG Omega" w:hAnsi="CG Omega"/>
          <w:b/>
          <w:sz w:val="44"/>
          <w:szCs w:val="44"/>
          <w:lang w:val="en-US"/>
        </w:rPr>
      </w:pPr>
      <w:r>
        <w:rPr>
          <w:rFonts w:ascii="CG Omega" w:hAnsi="CG Omega"/>
          <w:b/>
          <w:sz w:val="44"/>
          <w:szCs w:val="44"/>
        </w:rPr>
        <w:t xml:space="preserve">Short-term Impact Analysis of an Expansion of </w:t>
      </w:r>
      <w:r w:rsidR="00620DEB">
        <w:rPr>
          <w:rFonts w:ascii="CG Omega" w:hAnsi="CG Omega"/>
          <w:b/>
          <w:sz w:val="44"/>
          <w:szCs w:val="44"/>
        </w:rPr>
        <w:t>Regulated</w:t>
      </w:r>
      <w:r>
        <w:rPr>
          <w:rFonts w:ascii="CG Omega" w:hAnsi="CG Omega"/>
          <w:b/>
          <w:sz w:val="44"/>
          <w:szCs w:val="44"/>
        </w:rPr>
        <w:t xml:space="preserve"> Early Learning and Care in Nova Scotia</w:t>
      </w:r>
    </w:p>
    <w:p w:rsidR="00901C25" w:rsidRPr="008F1842" w:rsidRDefault="00901C25">
      <w:pPr>
        <w:rPr>
          <w:lang w:val="en-US"/>
        </w:rPr>
      </w:pPr>
    </w:p>
    <w:p w:rsidR="00901C25" w:rsidRDefault="00901C25" w:rsidP="00335B9B">
      <w:pPr>
        <w:pStyle w:val="Default"/>
        <w:rPr>
          <w:rFonts w:cs="Times New Roman"/>
          <w:color w:val="auto"/>
        </w:rPr>
      </w:pPr>
    </w:p>
    <w:p w:rsidR="00901C25" w:rsidRDefault="00901C25">
      <w:pPr>
        <w:rPr>
          <w:lang w:val="en-US"/>
        </w:rPr>
      </w:pPr>
    </w:p>
    <w:p w:rsidR="00901C25" w:rsidRDefault="00901C25">
      <w:pPr>
        <w:rPr>
          <w:lang w:val="en-US"/>
        </w:rPr>
      </w:pPr>
    </w:p>
    <w:p w:rsidR="00901C25" w:rsidRPr="00D370C8" w:rsidRDefault="00901C25">
      <w:pPr>
        <w:rPr>
          <w:lang w:val="en-US"/>
        </w:rPr>
      </w:pPr>
    </w:p>
    <w:p w:rsidR="00901C25" w:rsidRDefault="00901C25"/>
    <w:p w:rsidR="00901C25" w:rsidRDefault="00901C25">
      <w:pPr>
        <w:ind w:left="5040" w:right="-81"/>
        <w:rPr>
          <w:rFonts w:ascii="Arial" w:hAnsi="Arial"/>
          <w:i/>
          <w:sz w:val="18"/>
          <w:szCs w:val="18"/>
        </w:rPr>
      </w:pPr>
      <w:r>
        <w:rPr>
          <w:rFonts w:ascii="Arial" w:hAnsi="Arial"/>
          <w:i/>
          <w:sz w:val="18"/>
          <w:szCs w:val="18"/>
        </w:rPr>
        <w:t>Prepared for:</w:t>
      </w:r>
    </w:p>
    <w:p w:rsidR="00901C25" w:rsidRDefault="00140AE3" w:rsidP="00335B9B">
      <w:pPr>
        <w:pStyle w:val="MBSLSBNormal"/>
        <w:keepNext/>
        <w:keepLines/>
        <w:ind w:left="5041"/>
        <w:jc w:val="left"/>
        <w:rPr>
          <w:b/>
          <w:sz w:val="22"/>
          <w:szCs w:val="22"/>
        </w:rPr>
      </w:pPr>
      <w:r>
        <w:rPr>
          <w:b/>
        </w:rPr>
        <w:t>Canadian Union of Public Employees: Atlantic Regional Office</w:t>
      </w:r>
    </w:p>
    <w:p w:rsidR="00901C25" w:rsidRDefault="00901C25">
      <w:pPr>
        <w:pStyle w:val="MBSLSBNormal"/>
        <w:keepNext/>
        <w:keepLines/>
        <w:spacing w:after="120"/>
        <w:ind w:left="5040"/>
        <w:jc w:val="left"/>
        <w:rPr>
          <w:sz w:val="20"/>
        </w:rPr>
      </w:pPr>
    </w:p>
    <w:p w:rsidR="00901C25" w:rsidRDefault="00901C25">
      <w:pPr>
        <w:pStyle w:val="MBSLSBNormal"/>
        <w:keepNext/>
        <w:keepLines/>
        <w:spacing w:after="120"/>
        <w:ind w:left="5040"/>
        <w:jc w:val="left"/>
        <w:rPr>
          <w:sz w:val="20"/>
        </w:rPr>
      </w:pPr>
    </w:p>
    <w:p w:rsidR="00901C25" w:rsidRDefault="00901C25">
      <w:pPr>
        <w:pStyle w:val="MBSLSBNormal"/>
        <w:keepNext/>
        <w:keepLines/>
        <w:spacing w:after="120"/>
        <w:ind w:left="5040"/>
        <w:jc w:val="left"/>
        <w:rPr>
          <w:sz w:val="20"/>
        </w:rPr>
      </w:pPr>
    </w:p>
    <w:p w:rsidR="00901C25" w:rsidRDefault="00901C25">
      <w:pPr>
        <w:pStyle w:val="MBSLSBNormal"/>
        <w:keepNext/>
        <w:keepLines/>
        <w:spacing w:after="120"/>
        <w:ind w:left="5040"/>
        <w:jc w:val="left"/>
        <w:rPr>
          <w:sz w:val="20"/>
        </w:rPr>
      </w:pPr>
    </w:p>
    <w:p w:rsidR="00901C25" w:rsidRDefault="00901C25">
      <w:pPr>
        <w:pStyle w:val="Header"/>
        <w:tabs>
          <w:tab w:val="clear" w:pos="4320"/>
          <w:tab w:val="clear" w:pos="8640"/>
        </w:tabs>
        <w:ind w:left="5040" w:right="-765"/>
      </w:pPr>
    </w:p>
    <w:p w:rsidR="00901C25" w:rsidRDefault="00901C25">
      <w:pPr>
        <w:ind w:left="5040" w:right="-765"/>
        <w:rPr>
          <w:rFonts w:ascii="Arial" w:hAnsi="Arial"/>
          <w:i/>
          <w:sz w:val="18"/>
          <w:szCs w:val="18"/>
        </w:rPr>
      </w:pPr>
      <w:r>
        <w:rPr>
          <w:rFonts w:ascii="Arial" w:hAnsi="Arial"/>
          <w:i/>
          <w:sz w:val="18"/>
          <w:szCs w:val="18"/>
        </w:rPr>
        <w:t>Prepared by:</w:t>
      </w:r>
    </w:p>
    <w:p w:rsidR="00901C25" w:rsidRDefault="00901C25">
      <w:pPr>
        <w:ind w:left="5040" w:right="-763"/>
        <w:rPr>
          <w:rFonts w:ascii="Arial" w:hAnsi="Arial"/>
          <w:sz w:val="20"/>
          <w:szCs w:val="20"/>
        </w:rPr>
      </w:pPr>
      <w:r>
        <w:rPr>
          <w:rFonts w:ascii="Arial" w:hAnsi="Arial"/>
          <w:b/>
        </w:rPr>
        <w:t>The Centre for Spatial Economics</w:t>
      </w:r>
      <w:r>
        <w:rPr>
          <w:rFonts w:ascii="Arial" w:hAnsi="Arial"/>
        </w:rPr>
        <w:br/>
      </w:r>
      <w:r>
        <w:rPr>
          <w:rFonts w:ascii="Arial" w:hAnsi="Arial"/>
          <w:sz w:val="20"/>
          <w:szCs w:val="20"/>
        </w:rPr>
        <w:t>15 Martin Street, Suite 203</w:t>
      </w:r>
      <w:r>
        <w:rPr>
          <w:rFonts w:ascii="Arial" w:hAnsi="Arial"/>
          <w:sz w:val="20"/>
          <w:szCs w:val="20"/>
        </w:rPr>
        <w:br/>
        <w:t>Milton, ON  L9T 2R1</w:t>
      </w:r>
    </w:p>
    <w:p w:rsidR="00901C25" w:rsidRDefault="00901C25">
      <w:pPr>
        <w:ind w:left="5040" w:right="-765"/>
      </w:pPr>
    </w:p>
    <w:p w:rsidR="00901C25" w:rsidRDefault="00901C25">
      <w:pPr>
        <w:ind w:left="5040" w:right="-765"/>
      </w:pPr>
    </w:p>
    <w:p w:rsidR="00015938" w:rsidRDefault="00015938">
      <w:pPr>
        <w:ind w:left="5040" w:right="-765"/>
      </w:pPr>
    </w:p>
    <w:p w:rsidR="00015938" w:rsidRDefault="00015938">
      <w:pPr>
        <w:ind w:left="5040" w:right="-765"/>
      </w:pPr>
    </w:p>
    <w:p w:rsidR="00901C25" w:rsidRDefault="00901C25">
      <w:pPr>
        <w:ind w:left="5040" w:right="-765"/>
      </w:pPr>
    </w:p>
    <w:p w:rsidR="00901C25" w:rsidRDefault="00CF62E4" w:rsidP="00335B9B">
      <w:pPr>
        <w:ind w:left="5040" w:right="-765"/>
      </w:pPr>
      <w:r>
        <w:rPr>
          <w:rFonts w:ascii="Arial" w:hAnsi="Arial"/>
          <w:b/>
          <w:sz w:val="20"/>
          <w:szCs w:val="20"/>
        </w:rPr>
        <w:t>December</w:t>
      </w:r>
      <w:r w:rsidR="00901C25">
        <w:rPr>
          <w:rFonts w:ascii="Arial" w:hAnsi="Arial"/>
          <w:b/>
          <w:sz w:val="20"/>
          <w:szCs w:val="20"/>
        </w:rPr>
        <w:t xml:space="preserve"> 20</w:t>
      </w:r>
      <w:r w:rsidR="009C648C">
        <w:rPr>
          <w:rFonts w:ascii="Arial" w:hAnsi="Arial"/>
          <w:b/>
          <w:sz w:val="20"/>
          <w:szCs w:val="20"/>
        </w:rPr>
        <w:t>1</w:t>
      </w:r>
      <w:r w:rsidR="00F45B10">
        <w:rPr>
          <w:rFonts w:ascii="Arial" w:hAnsi="Arial"/>
          <w:b/>
          <w:sz w:val="20"/>
          <w:szCs w:val="20"/>
        </w:rPr>
        <w:t>1</w:t>
      </w:r>
    </w:p>
    <w:p w:rsidR="00901C25" w:rsidRDefault="00901C25">
      <w:pPr>
        <w:sectPr w:rsidR="00901C25" w:rsidSect="00F31F0A">
          <w:footerReference w:type="default" r:id="rId9"/>
          <w:pgSz w:w="12240" w:h="15840"/>
          <w:pgMar w:top="1247" w:right="1701" w:bottom="1247" w:left="1701" w:header="709" w:footer="255" w:gutter="0"/>
          <w:pgNumType w:start="0"/>
          <w:cols w:space="708"/>
          <w:docGrid w:linePitch="360"/>
        </w:sectPr>
      </w:pPr>
    </w:p>
    <w:p w:rsidR="00D82050" w:rsidRPr="006D2ECF" w:rsidRDefault="00D82050" w:rsidP="00D82050">
      <w:pPr>
        <w:spacing w:after="240"/>
        <w:jc w:val="center"/>
        <w:rPr>
          <w:rFonts w:ascii="Arial" w:hAnsi="Arial"/>
          <w:b/>
          <w:sz w:val="36"/>
          <w:szCs w:val="36"/>
        </w:rPr>
      </w:pPr>
      <w:bookmarkStart w:id="2" w:name="_Toc88458579"/>
      <w:bookmarkStart w:id="3" w:name="_Toc100744074"/>
      <w:r w:rsidRPr="006D2ECF">
        <w:rPr>
          <w:rFonts w:ascii="Arial" w:hAnsi="Arial"/>
          <w:b/>
          <w:sz w:val="36"/>
          <w:szCs w:val="36"/>
        </w:rPr>
        <w:lastRenderedPageBreak/>
        <w:t>Abstract</w:t>
      </w:r>
      <w:bookmarkEnd w:id="2"/>
      <w:bookmarkEnd w:id="3"/>
    </w:p>
    <w:p w:rsidR="009C648C" w:rsidRDefault="00434FF5" w:rsidP="00D82050">
      <w:bookmarkStart w:id="4" w:name="_Toc88458580"/>
      <w:r>
        <w:t>This report provides</w:t>
      </w:r>
      <w:r w:rsidR="009C648C">
        <w:t xml:space="preserve"> an analysis </w:t>
      </w:r>
      <w:r>
        <w:t xml:space="preserve">of the short-term economic impact of an expansion of </w:t>
      </w:r>
      <w:r w:rsidR="00E2536A">
        <w:t>regulated</w:t>
      </w:r>
      <w:r>
        <w:t xml:space="preserve"> early learning and care </w:t>
      </w:r>
      <w:r w:rsidR="002C3DB1">
        <w:t xml:space="preserve">(ELC) </w:t>
      </w:r>
      <w:r w:rsidR="00337540">
        <w:t xml:space="preserve">as it is currently structured </w:t>
      </w:r>
      <w:r>
        <w:t xml:space="preserve">in the province of Nova Scotia. The report provides estimates of </w:t>
      </w:r>
      <w:r w:rsidR="00140AE3">
        <w:t>the</w:t>
      </w:r>
      <w:r w:rsidR="009C648C">
        <w:t xml:space="preserve"> impact on GDP, employment, government revenues and mothers’ labour supply from an increase in </w:t>
      </w:r>
      <w:r w:rsidR="002C3DB1">
        <w:t>ELC</w:t>
      </w:r>
      <w:r w:rsidR="009C648C">
        <w:t xml:space="preserve"> expenditure</w:t>
      </w:r>
      <w:r w:rsidR="00140AE3">
        <w:t xml:space="preserve"> in Nova Scotia</w:t>
      </w:r>
      <w:r w:rsidR="009C648C">
        <w:t xml:space="preserve">. </w:t>
      </w:r>
      <w:r w:rsidR="00163012">
        <w:t xml:space="preserve">It is found that the </w:t>
      </w:r>
      <w:r w:rsidR="002C3DB1">
        <w:t>ELC</w:t>
      </w:r>
      <w:r w:rsidR="00163012">
        <w:t xml:space="preserve"> sector provides more short-term economic stimulus than other major sectors in the Nova Scotia economy.</w:t>
      </w:r>
      <w:r w:rsidR="007C62A8">
        <w:t xml:space="preserve"> Moreover, an expansion in the number of early childhood educators and spaces will have an additional positive effect on the economy via an increase in mothers’ labour supply.</w:t>
      </w:r>
    </w:p>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p w:rsidR="00163012" w:rsidRDefault="00163012" w:rsidP="00D82050"/>
    <w:bookmarkEnd w:id="4"/>
    <w:p w:rsidR="00D82050" w:rsidRDefault="00D82050" w:rsidP="00D82050">
      <w:r>
        <w:t>Questions or comments about this report can be sent to:</w:t>
      </w:r>
    </w:p>
    <w:p w:rsidR="00D82050" w:rsidRDefault="00D82050" w:rsidP="00D82050">
      <w:pPr>
        <w:rPr>
          <w:b/>
        </w:rPr>
      </w:pPr>
    </w:p>
    <w:p w:rsidR="00D82050" w:rsidRDefault="00D82050" w:rsidP="00D82050">
      <w:pPr>
        <w:rPr>
          <w:b/>
        </w:rPr>
      </w:pPr>
      <w:r>
        <w:rPr>
          <w:b/>
        </w:rPr>
        <w:t>Mail and Courier Address</w:t>
      </w:r>
    </w:p>
    <w:p w:rsidR="00D82050" w:rsidRDefault="00D82050" w:rsidP="00D82050">
      <w:r>
        <w:t>The Centre for Spatial Economics</w:t>
      </w:r>
      <w:r>
        <w:br/>
      </w:r>
      <w:smartTag w:uri="urn:schemas-microsoft-com:office:smarttags" w:element="address">
        <w:smartTag w:uri="urn:schemas-microsoft-com:office:smarttags" w:element="Street">
          <w:r>
            <w:t>15 Martin Street, Suite 203</w:t>
          </w:r>
        </w:smartTag>
        <w:r>
          <w:br/>
        </w:r>
        <w:smartTag w:uri="urn:schemas-microsoft-com:office:smarttags" w:element="City">
          <w:r>
            <w:t>Milton</w:t>
          </w:r>
        </w:smartTag>
        <w:r>
          <w:t xml:space="preserve">, </w:t>
        </w:r>
        <w:smartTag w:uri="urn:schemas-microsoft-com:office:smarttags" w:element="State">
          <w:r>
            <w:t>Ontario</w:t>
          </w:r>
        </w:smartTag>
        <w:r>
          <w:t xml:space="preserve">  </w:t>
        </w:r>
        <w:smartTag w:uri="urn:schemas-microsoft-com:office:smarttags" w:element="PostalCode">
          <w:r>
            <w:t>L9T 2R1</w:t>
          </w:r>
        </w:smartTag>
        <w:r>
          <w:br/>
        </w:r>
        <w:smartTag w:uri="urn:schemas-microsoft-com:office:smarttags" w:element="country-region">
          <w:r>
            <w:t>Canada</w:t>
          </w:r>
        </w:smartTag>
      </w:smartTag>
    </w:p>
    <w:p w:rsidR="00D82050" w:rsidRDefault="009C648C" w:rsidP="00D82050">
      <w:pPr>
        <w:ind w:left="2160" w:firstLine="720"/>
        <w:rPr>
          <w:b/>
        </w:rPr>
      </w:pPr>
      <w:r>
        <w:rPr>
          <w:b/>
        </w:rPr>
        <w:t>Phone Number</w:t>
      </w:r>
      <w:r w:rsidR="00D82050">
        <w:rPr>
          <w:b/>
        </w:rPr>
        <w:tab/>
      </w:r>
      <w:r w:rsidR="00D82050">
        <w:rPr>
          <w:b/>
        </w:rPr>
        <w:tab/>
      </w:r>
      <w:r>
        <w:rPr>
          <w:b/>
        </w:rPr>
        <w:tab/>
        <w:t>e-mail address</w:t>
      </w:r>
    </w:p>
    <w:p w:rsidR="00D82050" w:rsidRDefault="00D82050" w:rsidP="00D82050">
      <w:pPr>
        <w:tabs>
          <w:tab w:val="left" w:pos="2907"/>
        </w:tabs>
        <w:spacing w:after="0"/>
        <w:rPr>
          <w:rFonts w:cs="Times New Roman"/>
          <w:color w:val="000000"/>
          <w:szCs w:val="22"/>
        </w:rPr>
      </w:pPr>
      <w:r>
        <w:rPr>
          <w:rFonts w:cs="Times New Roman"/>
          <w:color w:val="000000"/>
          <w:szCs w:val="22"/>
        </w:rPr>
        <w:t>Robert Fairholm</w:t>
      </w:r>
      <w:r>
        <w:rPr>
          <w:rFonts w:cs="Times New Roman"/>
          <w:color w:val="000000"/>
          <w:szCs w:val="22"/>
        </w:rPr>
        <w:tab/>
        <w:t xml:space="preserve">(416) 346-2739 </w:t>
      </w:r>
      <w:r>
        <w:rPr>
          <w:rFonts w:cs="Times New Roman"/>
          <w:color w:val="000000"/>
          <w:szCs w:val="22"/>
        </w:rPr>
        <w:tab/>
      </w:r>
      <w:r>
        <w:rPr>
          <w:rFonts w:cs="Times New Roman"/>
          <w:color w:val="000000"/>
          <w:szCs w:val="22"/>
        </w:rPr>
        <w:tab/>
        <w:t>rfairholm@c4se.com</w:t>
      </w:r>
    </w:p>
    <w:p w:rsidR="00D82050" w:rsidRDefault="00D82050" w:rsidP="00D82050">
      <w:pPr>
        <w:rPr>
          <w:color w:val="000000"/>
          <w:szCs w:val="22"/>
        </w:rPr>
      </w:pPr>
    </w:p>
    <w:p w:rsidR="00D82050" w:rsidRDefault="00D82050" w:rsidP="00D82050">
      <w:pPr>
        <w:jc w:val="center"/>
        <w:rPr>
          <w:rFonts w:ascii="Arial" w:hAnsi="Arial"/>
          <w:b/>
          <w:sz w:val="36"/>
          <w:szCs w:val="36"/>
        </w:rPr>
      </w:pPr>
      <w:r>
        <w:br w:type="page"/>
      </w:r>
      <w:r>
        <w:rPr>
          <w:rFonts w:ascii="Arial" w:hAnsi="Arial"/>
          <w:b/>
          <w:sz w:val="36"/>
          <w:szCs w:val="36"/>
        </w:rPr>
        <w:lastRenderedPageBreak/>
        <w:t>Table of Contents</w:t>
      </w:r>
    </w:p>
    <w:p w:rsidR="00DF03E3" w:rsidRDefault="0023080D">
      <w:pPr>
        <w:pStyle w:val="TOC2"/>
        <w:tabs>
          <w:tab w:val="right" w:leader="dot" w:pos="8828"/>
        </w:tabs>
        <w:rPr>
          <w:rFonts w:ascii="Calibri" w:hAnsi="Calibri" w:cs="Times New Roman"/>
          <w:noProof/>
          <w:szCs w:val="22"/>
          <w:lang w:eastAsia="en-CA"/>
        </w:rPr>
      </w:pPr>
      <w:r w:rsidRPr="0023080D">
        <w:rPr>
          <w:rFonts w:cs="Times New Roman"/>
          <w:szCs w:val="22"/>
        </w:rPr>
        <w:fldChar w:fldCharType="begin"/>
      </w:r>
      <w:r w:rsidR="00512F97">
        <w:rPr>
          <w:rFonts w:cs="Times New Roman"/>
          <w:szCs w:val="22"/>
        </w:rPr>
        <w:instrText xml:space="preserve"> TOC \o "1-3" \h \z \u </w:instrText>
      </w:r>
      <w:r w:rsidRPr="0023080D">
        <w:rPr>
          <w:rFonts w:cs="Times New Roman"/>
          <w:szCs w:val="22"/>
        </w:rPr>
        <w:fldChar w:fldCharType="separate"/>
      </w:r>
      <w:hyperlink w:anchor="_Toc283303663" w:history="1">
        <w:r w:rsidR="00DF03E3" w:rsidRPr="00AD4073">
          <w:rPr>
            <w:rStyle w:val="Hyperlink"/>
            <w:rFonts w:cs="Times New Roman"/>
            <w:noProof/>
          </w:rPr>
          <w:t>Executive Summary</w:t>
        </w:r>
        <w:r w:rsidR="00DF03E3">
          <w:rPr>
            <w:noProof/>
            <w:webHidden/>
          </w:rPr>
          <w:tab/>
        </w:r>
        <w:r>
          <w:rPr>
            <w:noProof/>
            <w:webHidden/>
          </w:rPr>
          <w:fldChar w:fldCharType="begin"/>
        </w:r>
        <w:r w:rsidR="00DF03E3">
          <w:rPr>
            <w:noProof/>
            <w:webHidden/>
          </w:rPr>
          <w:instrText xml:space="preserve"> PAGEREF _Toc283303663 \h </w:instrText>
        </w:r>
        <w:r>
          <w:rPr>
            <w:noProof/>
            <w:webHidden/>
          </w:rPr>
        </w:r>
        <w:r>
          <w:rPr>
            <w:noProof/>
            <w:webHidden/>
          </w:rPr>
          <w:fldChar w:fldCharType="separate"/>
        </w:r>
        <w:r w:rsidR="00DF03E3">
          <w:rPr>
            <w:noProof/>
            <w:webHidden/>
          </w:rPr>
          <w:t>3</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4" w:history="1">
        <w:r w:rsidR="00DF03E3" w:rsidRPr="00AD4073">
          <w:rPr>
            <w:rStyle w:val="Hyperlink"/>
            <w:rFonts w:cs="Times New Roman"/>
            <w:noProof/>
          </w:rPr>
          <w:t xml:space="preserve">1. </w:t>
        </w:r>
        <w:r w:rsidR="00DF03E3" w:rsidRPr="00AD4073">
          <w:rPr>
            <w:rStyle w:val="Hyperlink"/>
            <w:noProof/>
          </w:rPr>
          <w:t>Introduction</w:t>
        </w:r>
        <w:r w:rsidR="00DF03E3">
          <w:rPr>
            <w:noProof/>
            <w:webHidden/>
          </w:rPr>
          <w:tab/>
        </w:r>
        <w:r>
          <w:rPr>
            <w:noProof/>
            <w:webHidden/>
          </w:rPr>
          <w:fldChar w:fldCharType="begin"/>
        </w:r>
        <w:r w:rsidR="00DF03E3">
          <w:rPr>
            <w:noProof/>
            <w:webHidden/>
          </w:rPr>
          <w:instrText xml:space="preserve"> PAGEREF _Toc283303664 \h </w:instrText>
        </w:r>
        <w:r>
          <w:rPr>
            <w:noProof/>
            <w:webHidden/>
          </w:rPr>
        </w:r>
        <w:r>
          <w:rPr>
            <w:noProof/>
            <w:webHidden/>
          </w:rPr>
          <w:fldChar w:fldCharType="separate"/>
        </w:r>
        <w:r w:rsidR="00DF03E3">
          <w:rPr>
            <w:noProof/>
            <w:webHidden/>
          </w:rPr>
          <w:t>5</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5" w:history="1">
        <w:r w:rsidR="00DF03E3" w:rsidRPr="00AD4073">
          <w:rPr>
            <w:rStyle w:val="Hyperlink"/>
            <w:rFonts w:cs="Times New Roman"/>
            <w:noProof/>
          </w:rPr>
          <w:t>2. Literature Review of ELC Benefits</w:t>
        </w:r>
        <w:r w:rsidR="00DF03E3">
          <w:rPr>
            <w:noProof/>
            <w:webHidden/>
          </w:rPr>
          <w:tab/>
        </w:r>
        <w:r>
          <w:rPr>
            <w:noProof/>
            <w:webHidden/>
          </w:rPr>
          <w:fldChar w:fldCharType="begin"/>
        </w:r>
        <w:r w:rsidR="00DF03E3">
          <w:rPr>
            <w:noProof/>
            <w:webHidden/>
          </w:rPr>
          <w:instrText xml:space="preserve"> PAGEREF _Toc283303665 \h </w:instrText>
        </w:r>
        <w:r>
          <w:rPr>
            <w:noProof/>
            <w:webHidden/>
          </w:rPr>
        </w:r>
        <w:r>
          <w:rPr>
            <w:noProof/>
            <w:webHidden/>
          </w:rPr>
          <w:fldChar w:fldCharType="separate"/>
        </w:r>
        <w:r w:rsidR="00DF03E3">
          <w:rPr>
            <w:noProof/>
            <w:webHidden/>
          </w:rPr>
          <w:t>5</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6" w:history="1">
        <w:r w:rsidR="00DF03E3" w:rsidRPr="00AD4073">
          <w:rPr>
            <w:rStyle w:val="Hyperlink"/>
            <w:noProof/>
          </w:rPr>
          <w:t>3. Economic Impact Estimates and Multipliers</w:t>
        </w:r>
        <w:r w:rsidR="00DF03E3">
          <w:rPr>
            <w:noProof/>
            <w:webHidden/>
          </w:rPr>
          <w:tab/>
        </w:r>
        <w:r>
          <w:rPr>
            <w:noProof/>
            <w:webHidden/>
          </w:rPr>
          <w:fldChar w:fldCharType="begin"/>
        </w:r>
        <w:r w:rsidR="00DF03E3">
          <w:rPr>
            <w:noProof/>
            <w:webHidden/>
          </w:rPr>
          <w:instrText xml:space="preserve"> PAGEREF _Toc283303666 \h </w:instrText>
        </w:r>
        <w:r>
          <w:rPr>
            <w:noProof/>
            <w:webHidden/>
          </w:rPr>
        </w:r>
        <w:r>
          <w:rPr>
            <w:noProof/>
            <w:webHidden/>
          </w:rPr>
          <w:fldChar w:fldCharType="separate"/>
        </w:r>
        <w:r w:rsidR="00DF03E3">
          <w:rPr>
            <w:noProof/>
            <w:webHidden/>
          </w:rPr>
          <w:t>7</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7" w:history="1">
        <w:r w:rsidR="00DF03E3" w:rsidRPr="00AD4073">
          <w:rPr>
            <w:rStyle w:val="Hyperlink"/>
            <w:noProof/>
          </w:rPr>
          <w:t>4. Direct and Indirect Economic Impact for ELC in Nova Scotia</w:t>
        </w:r>
        <w:r w:rsidR="00DF03E3">
          <w:rPr>
            <w:noProof/>
            <w:webHidden/>
          </w:rPr>
          <w:tab/>
        </w:r>
        <w:r>
          <w:rPr>
            <w:noProof/>
            <w:webHidden/>
          </w:rPr>
          <w:fldChar w:fldCharType="begin"/>
        </w:r>
        <w:r w:rsidR="00DF03E3">
          <w:rPr>
            <w:noProof/>
            <w:webHidden/>
          </w:rPr>
          <w:instrText xml:space="preserve"> PAGEREF _Toc283303667 \h </w:instrText>
        </w:r>
        <w:r>
          <w:rPr>
            <w:noProof/>
            <w:webHidden/>
          </w:rPr>
        </w:r>
        <w:r>
          <w:rPr>
            <w:noProof/>
            <w:webHidden/>
          </w:rPr>
          <w:fldChar w:fldCharType="separate"/>
        </w:r>
        <w:r w:rsidR="00DF03E3">
          <w:rPr>
            <w:noProof/>
            <w:webHidden/>
          </w:rPr>
          <w:t>9</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8" w:history="1">
        <w:r w:rsidR="00DF03E3" w:rsidRPr="00AD4073">
          <w:rPr>
            <w:rStyle w:val="Hyperlink"/>
            <w:noProof/>
          </w:rPr>
          <w:t>5. Induced Impact Assessment of ELC in Nova Scotia</w:t>
        </w:r>
        <w:r w:rsidR="00DF03E3">
          <w:rPr>
            <w:noProof/>
            <w:webHidden/>
          </w:rPr>
          <w:tab/>
        </w:r>
        <w:r>
          <w:rPr>
            <w:noProof/>
            <w:webHidden/>
          </w:rPr>
          <w:fldChar w:fldCharType="begin"/>
        </w:r>
        <w:r w:rsidR="00DF03E3">
          <w:rPr>
            <w:noProof/>
            <w:webHidden/>
          </w:rPr>
          <w:instrText xml:space="preserve"> PAGEREF _Toc283303668 \h </w:instrText>
        </w:r>
        <w:r>
          <w:rPr>
            <w:noProof/>
            <w:webHidden/>
          </w:rPr>
        </w:r>
        <w:r>
          <w:rPr>
            <w:noProof/>
            <w:webHidden/>
          </w:rPr>
          <w:fldChar w:fldCharType="separate"/>
        </w:r>
        <w:r w:rsidR="00DF03E3">
          <w:rPr>
            <w:noProof/>
            <w:webHidden/>
          </w:rPr>
          <w:t>11</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69" w:history="1">
        <w:r w:rsidR="00DF03E3" w:rsidRPr="00AD4073">
          <w:rPr>
            <w:rStyle w:val="Hyperlink"/>
            <w:noProof/>
          </w:rPr>
          <w:t>6. Comparison of Combined Direct, Indirect and Induced Effects</w:t>
        </w:r>
        <w:r w:rsidR="00DF03E3">
          <w:rPr>
            <w:noProof/>
            <w:webHidden/>
          </w:rPr>
          <w:tab/>
        </w:r>
        <w:r>
          <w:rPr>
            <w:noProof/>
            <w:webHidden/>
          </w:rPr>
          <w:fldChar w:fldCharType="begin"/>
        </w:r>
        <w:r w:rsidR="00DF03E3">
          <w:rPr>
            <w:noProof/>
            <w:webHidden/>
          </w:rPr>
          <w:instrText xml:space="preserve"> PAGEREF _Toc283303669 \h </w:instrText>
        </w:r>
        <w:r>
          <w:rPr>
            <w:noProof/>
            <w:webHidden/>
          </w:rPr>
        </w:r>
        <w:r>
          <w:rPr>
            <w:noProof/>
            <w:webHidden/>
          </w:rPr>
          <w:fldChar w:fldCharType="separate"/>
        </w:r>
        <w:r w:rsidR="00DF03E3">
          <w:rPr>
            <w:noProof/>
            <w:webHidden/>
          </w:rPr>
          <w:t>14</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70" w:history="1">
        <w:r w:rsidR="00DF03E3" w:rsidRPr="00AD4073">
          <w:rPr>
            <w:rStyle w:val="Hyperlink"/>
            <w:noProof/>
          </w:rPr>
          <w:t>7. Mothers’ Labour Supply and Total Employment Effects</w:t>
        </w:r>
        <w:r w:rsidR="00DF03E3">
          <w:rPr>
            <w:noProof/>
            <w:webHidden/>
          </w:rPr>
          <w:tab/>
        </w:r>
        <w:r>
          <w:rPr>
            <w:noProof/>
            <w:webHidden/>
          </w:rPr>
          <w:fldChar w:fldCharType="begin"/>
        </w:r>
        <w:r w:rsidR="00DF03E3">
          <w:rPr>
            <w:noProof/>
            <w:webHidden/>
          </w:rPr>
          <w:instrText xml:space="preserve"> PAGEREF _Toc283303670 \h </w:instrText>
        </w:r>
        <w:r>
          <w:rPr>
            <w:noProof/>
            <w:webHidden/>
          </w:rPr>
        </w:r>
        <w:r>
          <w:rPr>
            <w:noProof/>
            <w:webHidden/>
          </w:rPr>
          <w:fldChar w:fldCharType="separate"/>
        </w:r>
        <w:r w:rsidR="00DF03E3">
          <w:rPr>
            <w:noProof/>
            <w:webHidden/>
          </w:rPr>
          <w:t>15</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71" w:history="1">
        <w:r w:rsidR="00DF03E3" w:rsidRPr="00AD4073">
          <w:rPr>
            <w:rStyle w:val="Hyperlink"/>
            <w:noProof/>
          </w:rPr>
          <w:t>8. Impact on Government Revenue</w:t>
        </w:r>
        <w:r w:rsidR="00DF03E3">
          <w:rPr>
            <w:noProof/>
            <w:webHidden/>
          </w:rPr>
          <w:tab/>
        </w:r>
        <w:r>
          <w:rPr>
            <w:noProof/>
            <w:webHidden/>
          </w:rPr>
          <w:fldChar w:fldCharType="begin"/>
        </w:r>
        <w:r w:rsidR="00DF03E3">
          <w:rPr>
            <w:noProof/>
            <w:webHidden/>
          </w:rPr>
          <w:instrText xml:space="preserve"> PAGEREF _Toc283303671 \h </w:instrText>
        </w:r>
        <w:r>
          <w:rPr>
            <w:noProof/>
            <w:webHidden/>
          </w:rPr>
        </w:r>
        <w:r>
          <w:rPr>
            <w:noProof/>
            <w:webHidden/>
          </w:rPr>
          <w:fldChar w:fldCharType="separate"/>
        </w:r>
        <w:r w:rsidR="00DF03E3">
          <w:rPr>
            <w:noProof/>
            <w:webHidden/>
          </w:rPr>
          <w:t>17</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72" w:history="1">
        <w:r w:rsidR="00DF03E3" w:rsidRPr="00AD4073">
          <w:rPr>
            <w:rStyle w:val="Hyperlink"/>
            <w:noProof/>
          </w:rPr>
          <w:t>8. Conclusion</w:t>
        </w:r>
        <w:r w:rsidR="00DF03E3">
          <w:rPr>
            <w:noProof/>
            <w:webHidden/>
          </w:rPr>
          <w:tab/>
        </w:r>
        <w:r>
          <w:rPr>
            <w:noProof/>
            <w:webHidden/>
          </w:rPr>
          <w:fldChar w:fldCharType="begin"/>
        </w:r>
        <w:r w:rsidR="00DF03E3">
          <w:rPr>
            <w:noProof/>
            <w:webHidden/>
          </w:rPr>
          <w:instrText xml:space="preserve"> PAGEREF _Toc283303672 \h </w:instrText>
        </w:r>
        <w:r>
          <w:rPr>
            <w:noProof/>
            <w:webHidden/>
          </w:rPr>
        </w:r>
        <w:r>
          <w:rPr>
            <w:noProof/>
            <w:webHidden/>
          </w:rPr>
          <w:fldChar w:fldCharType="separate"/>
        </w:r>
        <w:r w:rsidR="00DF03E3">
          <w:rPr>
            <w:noProof/>
            <w:webHidden/>
          </w:rPr>
          <w:t>19</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73" w:history="1">
        <w:r w:rsidR="00DF03E3" w:rsidRPr="00AD4073">
          <w:rPr>
            <w:rStyle w:val="Hyperlink"/>
            <w:bCs/>
            <w:noProof/>
          </w:rPr>
          <w:t>9. References</w:t>
        </w:r>
        <w:r w:rsidR="00DF03E3">
          <w:rPr>
            <w:noProof/>
            <w:webHidden/>
          </w:rPr>
          <w:tab/>
        </w:r>
        <w:r>
          <w:rPr>
            <w:noProof/>
            <w:webHidden/>
          </w:rPr>
          <w:fldChar w:fldCharType="begin"/>
        </w:r>
        <w:r w:rsidR="00DF03E3">
          <w:rPr>
            <w:noProof/>
            <w:webHidden/>
          </w:rPr>
          <w:instrText xml:space="preserve"> PAGEREF _Toc283303673 \h </w:instrText>
        </w:r>
        <w:r>
          <w:rPr>
            <w:noProof/>
            <w:webHidden/>
          </w:rPr>
        </w:r>
        <w:r>
          <w:rPr>
            <w:noProof/>
            <w:webHidden/>
          </w:rPr>
          <w:fldChar w:fldCharType="separate"/>
        </w:r>
        <w:r w:rsidR="00DF03E3">
          <w:rPr>
            <w:noProof/>
            <w:webHidden/>
          </w:rPr>
          <w:t>21</w:t>
        </w:r>
        <w:r>
          <w:rPr>
            <w:noProof/>
            <w:webHidden/>
          </w:rPr>
          <w:fldChar w:fldCharType="end"/>
        </w:r>
      </w:hyperlink>
    </w:p>
    <w:p w:rsidR="00DF03E3" w:rsidRDefault="0023080D">
      <w:pPr>
        <w:pStyle w:val="TOC2"/>
        <w:tabs>
          <w:tab w:val="right" w:leader="dot" w:pos="8828"/>
        </w:tabs>
        <w:rPr>
          <w:rFonts w:ascii="Calibri" w:hAnsi="Calibri" w:cs="Times New Roman"/>
          <w:noProof/>
          <w:szCs w:val="22"/>
          <w:lang w:eastAsia="en-CA"/>
        </w:rPr>
      </w:pPr>
      <w:hyperlink w:anchor="_Toc283303674" w:history="1">
        <w:r w:rsidR="00DF03E3" w:rsidRPr="00AD4073">
          <w:rPr>
            <w:rStyle w:val="Hyperlink"/>
            <w:noProof/>
            <w:lang w:val="fr-CA"/>
          </w:rPr>
          <w:t>10. G</w:t>
        </w:r>
        <w:r w:rsidR="00DF03E3" w:rsidRPr="00AD4073">
          <w:rPr>
            <w:rStyle w:val="Hyperlink"/>
            <w:noProof/>
          </w:rPr>
          <w:t>lossary of Terms</w:t>
        </w:r>
        <w:r w:rsidR="00DF03E3">
          <w:rPr>
            <w:noProof/>
            <w:webHidden/>
          </w:rPr>
          <w:tab/>
        </w:r>
        <w:r>
          <w:rPr>
            <w:noProof/>
            <w:webHidden/>
          </w:rPr>
          <w:fldChar w:fldCharType="begin"/>
        </w:r>
        <w:r w:rsidR="00DF03E3">
          <w:rPr>
            <w:noProof/>
            <w:webHidden/>
          </w:rPr>
          <w:instrText xml:space="preserve"> PAGEREF _Toc283303674 \h </w:instrText>
        </w:r>
        <w:r>
          <w:rPr>
            <w:noProof/>
            <w:webHidden/>
          </w:rPr>
        </w:r>
        <w:r>
          <w:rPr>
            <w:noProof/>
            <w:webHidden/>
          </w:rPr>
          <w:fldChar w:fldCharType="separate"/>
        </w:r>
        <w:r w:rsidR="00DF03E3">
          <w:rPr>
            <w:noProof/>
            <w:webHidden/>
          </w:rPr>
          <w:t>30</w:t>
        </w:r>
        <w:r>
          <w:rPr>
            <w:noProof/>
            <w:webHidden/>
          </w:rPr>
          <w:fldChar w:fldCharType="end"/>
        </w:r>
      </w:hyperlink>
    </w:p>
    <w:p w:rsidR="00D82050" w:rsidRDefault="0023080D" w:rsidP="007D1656">
      <w:pPr>
        <w:pStyle w:val="Heading2"/>
        <w:spacing w:before="0"/>
        <w:rPr>
          <w:rFonts w:cs="Times New Roman"/>
          <w:szCs w:val="22"/>
        </w:rPr>
      </w:pPr>
      <w:r>
        <w:rPr>
          <w:rFonts w:ascii="Times New Roman" w:hAnsi="Times New Roman" w:cs="Times New Roman"/>
          <w:sz w:val="22"/>
          <w:szCs w:val="22"/>
        </w:rPr>
        <w:fldChar w:fldCharType="end"/>
      </w:r>
    </w:p>
    <w:p w:rsidR="00F31F0A" w:rsidRDefault="00D82050" w:rsidP="00F31F0A">
      <w:pPr>
        <w:pStyle w:val="Heading2"/>
        <w:spacing w:before="0"/>
      </w:pPr>
      <w:r>
        <w:rPr>
          <w:rFonts w:cs="Times New Roman"/>
          <w:szCs w:val="22"/>
        </w:rPr>
        <w:br w:type="page"/>
      </w:r>
      <w:bookmarkStart w:id="5" w:name="_Toc283303663"/>
      <w:bookmarkStart w:id="6" w:name="_Toc204739207"/>
      <w:r w:rsidR="00F31F0A">
        <w:rPr>
          <w:rFonts w:cs="Times New Roman"/>
          <w:szCs w:val="22"/>
        </w:rPr>
        <w:lastRenderedPageBreak/>
        <w:t>Executive Summary</w:t>
      </w:r>
      <w:bookmarkEnd w:id="5"/>
    </w:p>
    <w:p w:rsidR="00D45264" w:rsidRDefault="002C3DB1" w:rsidP="00880960">
      <w:r>
        <w:t xml:space="preserve">A </w:t>
      </w:r>
      <w:r w:rsidR="00343F5E">
        <w:t>large</w:t>
      </w:r>
      <w:r>
        <w:t xml:space="preserve"> body of research has examined </w:t>
      </w:r>
      <w:r w:rsidR="00F45B10">
        <w:t xml:space="preserve">early learning and care (ELC). </w:t>
      </w:r>
      <w:r w:rsidR="00343F5E">
        <w:t>In g</w:t>
      </w:r>
      <w:r w:rsidR="003C1540">
        <w:t>eneral t</w:t>
      </w:r>
      <w:r w:rsidR="00F45B10">
        <w:t xml:space="preserve">he literature </w:t>
      </w:r>
      <w:r w:rsidR="00905D18">
        <w:t>find</w:t>
      </w:r>
      <w:r w:rsidR="003C1540">
        <w:t xml:space="preserve">s </w:t>
      </w:r>
      <w:r w:rsidR="00F45B10">
        <w:t xml:space="preserve">that quality ELC </w:t>
      </w:r>
      <w:r w:rsidR="003C1540">
        <w:t>provides benefits to participating children, parents of participating children and society as a whole</w:t>
      </w:r>
      <w:r w:rsidR="000F22FC">
        <w:t xml:space="preserve"> including benefits to government spending and revenues</w:t>
      </w:r>
      <w:r w:rsidR="003C1540">
        <w:t xml:space="preserve">. </w:t>
      </w:r>
      <w:r w:rsidR="00311B5C">
        <w:t xml:space="preserve">The economic benefits </w:t>
      </w:r>
      <w:r w:rsidR="00905D18">
        <w:t xml:space="preserve">of ELC </w:t>
      </w:r>
      <w:r w:rsidR="00311B5C">
        <w:t xml:space="preserve">can be </w:t>
      </w:r>
      <w:r w:rsidR="00343F5E">
        <w:t>calculated</w:t>
      </w:r>
      <w:r w:rsidR="00311B5C">
        <w:t xml:space="preserve"> </w:t>
      </w:r>
      <w:r w:rsidR="00343F5E">
        <w:t>for</w:t>
      </w:r>
      <w:r w:rsidR="00311B5C">
        <w:t xml:space="preserve"> either the long term or short term</w:t>
      </w:r>
      <w:r w:rsidR="00343F5E">
        <w:t xml:space="preserve"> using two different approaches</w:t>
      </w:r>
      <w:r w:rsidR="00311B5C">
        <w:t xml:space="preserve">. </w:t>
      </w:r>
      <w:r w:rsidR="00343F5E">
        <w:t>The literature that focuses on t</w:t>
      </w:r>
      <w:r w:rsidR="00311B5C">
        <w:t>he long</w:t>
      </w:r>
      <w:r w:rsidR="00343F5E">
        <w:t xml:space="preserve"> </w:t>
      </w:r>
      <w:r w:rsidR="00311B5C">
        <w:t xml:space="preserve">term tends to find that the present value of benefits from quality ELC programs are much larger than </w:t>
      </w:r>
      <w:r w:rsidR="00343F5E">
        <w:t xml:space="preserve">the </w:t>
      </w:r>
      <w:r w:rsidR="00311B5C">
        <w:t xml:space="preserve">costs, </w:t>
      </w:r>
      <w:r w:rsidR="00343F5E">
        <w:t>particular</w:t>
      </w:r>
      <w:r w:rsidR="00311B5C">
        <w:t xml:space="preserve"> for disadvantaged children. </w:t>
      </w:r>
      <w:r w:rsidR="00D45264">
        <w:t xml:space="preserve">The literature that focuses on the short-term economic effects tends to find that the ELC sector has </w:t>
      </w:r>
      <w:r w:rsidR="00905D18">
        <w:t>large</w:t>
      </w:r>
      <w:r w:rsidR="00D45264">
        <w:t xml:space="preserve"> GDP and employment multipliers compared with other sectors. </w:t>
      </w:r>
      <w:r w:rsidR="00311B5C">
        <w:t xml:space="preserve">The present study </w:t>
      </w:r>
      <w:r w:rsidR="003A3922">
        <w:t>does not examine the long-term benefits and costs of an expansion of ELC sector</w:t>
      </w:r>
      <w:r w:rsidR="000F22FC">
        <w:t xml:space="preserve"> because this analysis was beyond the parameters of the study. I</w:t>
      </w:r>
      <w:r w:rsidR="003A3922">
        <w:t xml:space="preserve">nstead </w:t>
      </w:r>
      <w:r w:rsidR="000F22FC">
        <w:t>the study</w:t>
      </w:r>
      <w:r w:rsidR="003A3922">
        <w:t xml:space="preserve"> </w:t>
      </w:r>
      <w:r w:rsidR="00311B5C">
        <w:t>focuses on the short-term economic effects caused by an increase in activity (</w:t>
      </w:r>
      <w:r w:rsidR="00905D18">
        <w:t xml:space="preserve">called </w:t>
      </w:r>
      <w:r w:rsidR="00311B5C">
        <w:t xml:space="preserve">output in the economic literature) in Nova Scotia's regulated ELC sector as it </w:t>
      </w:r>
      <w:r w:rsidR="00905D18">
        <w:t xml:space="preserve">is </w:t>
      </w:r>
      <w:r w:rsidR="00311B5C">
        <w:t xml:space="preserve">currently </w:t>
      </w:r>
      <w:r w:rsidR="00905D18">
        <w:t>comprised</w:t>
      </w:r>
      <w:r w:rsidR="00311B5C">
        <w:t>.</w:t>
      </w:r>
      <w:r w:rsidR="00D45264">
        <w:t xml:space="preserve"> </w:t>
      </w:r>
    </w:p>
    <w:p w:rsidR="001C0D7D" w:rsidRDefault="007C62A8" w:rsidP="00880960">
      <w:r>
        <w:t xml:space="preserve">An expansion of </w:t>
      </w:r>
      <w:r w:rsidR="00E2536A">
        <w:t>regulated</w:t>
      </w:r>
      <w:r w:rsidR="00880960">
        <w:t xml:space="preserve"> </w:t>
      </w:r>
      <w:r w:rsidR="00311B5C">
        <w:t>ELC</w:t>
      </w:r>
      <w:r w:rsidR="00880960">
        <w:t xml:space="preserve"> </w:t>
      </w:r>
      <w:r w:rsidR="006C6133">
        <w:t xml:space="preserve">will have many short-term </w:t>
      </w:r>
      <w:r w:rsidR="00A821F4">
        <w:t xml:space="preserve">economic </w:t>
      </w:r>
      <w:r w:rsidR="00367900">
        <w:t>effects</w:t>
      </w:r>
      <w:r w:rsidR="00880960">
        <w:t xml:space="preserve">. </w:t>
      </w:r>
      <w:r w:rsidR="001C0D7D">
        <w:t xml:space="preserve">To understand these effects it is helpful to decompose them into </w:t>
      </w:r>
      <w:r w:rsidR="00367900">
        <w:t>four</w:t>
      </w:r>
      <w:r w:rsidR="00311B5C">
        <w:t xml:space="preserve"> distinct</w:t>
      </w:r>
      <w:r w:rsidR="001C0D7D">
        <w:t xml:space="preserve"> parts. </w:t>
      </w:r>
      <w:r w:rsidR="00880960">
        <w:t xml:space="preserve">First an increase in </w:t>
      </w:r>
      <w:r w:rsidR="006C6133">
        <w:t xml:space="preserve">ELC </w:t>
      </w:r>
      <w:r w:rsidR="00880960">
        <w:t xml:space="preserve">spending will </w:t>
      </w:r>
      <w:r w:rsidR="00367900">
        <w:t xml:space="preserve">directly </w:t>
      </w:r>
      <w:r w:rsidR="006C6133">
        <w:t xml:space="preserve">boost </w:t>
      </w:r>
      <w:r w:rsidR="00880960">
        <w:t>GDP and employment</w:t>
      </w:r>
      <w:r w:rsidR="00D73F5C">
        <w:t xml:space="preserve"> </w:t>
      </w:r>
      <w:r w:rsidR="00367900">
        <w:t xml:space="preserve">in the ELC sector. This is the direct economic effect. Second, the expansion of output in the ELC sector will increase demand for the goods and services of supplying sectors, and their suppliers, etc. This is the </w:t>
      </w:r>
      <w:r w:rsidR="006C6133">
        <w:t xml:space="preserve">indirect </w:t>
      </w:r>
      <w:r w:rsidR="00367900">
        <w:t>economic effect</w:t>
      </w:r>
      <w:r w:rsidR="00880960">
        <w:t xml:space="preserve">. </w:t>
      </w:r>
      <w:r w:rsidR="00367900">
        <w:t>Thir</w:t>
      </w:r>
      <w:r>
        <w:t xml:space="preserve">d, the increase in employment and income </w:t>
      </w:r>
      <w:r w:rsidR="001E2264">
        <w:t>generated</w:t>
      </w:r>
      <w:r>
        <w:t xml:space="preserve"> by the direct and indirect channels will boost the economy </w:t>
      </w:r>
      <w:r w:rsidR="006820FE">
        <w:t>as the extra income is spent</w:t>
      </w:r>
      <w:r w:rsidR="00367900">
        <w:t>. This is</w:t>
      </w:r>
      <w:r w:rsidR="006820FE">
        <w:t xml:space="preserve"> </w:t>
      </w:r>
      <w:r>
        <w:t xml:space="preserve">the induced </w:t>
      </w:r>
      <w:r w:rsidR="00367900">
        <w:t xml:space="preserve">economic </w:t>
      </w:r>
      <w:r>
        <w:t xml:space="preserve">effect. </w:t>
      </w:r>
      <w:r w:rsidR="00367900">
        <w:t>Fourth</w:t>
      </w:r>
      <w:r>
        <w:t xml:space="preserve">, the expansion in the number of early childhood educators and therefore spaces will permit more mothers to work. </w:t>
      </w:r>
      <w:r w:rsidR="00367900">
        <w:t xml:space="preserve">This is the mothers' labour supply effect. </w:t>
      </w:r>
      <w:r>
        <w:t>Th</w:t>
      </w:r>
      <w:r w:rsidR="00367900">
        <w:t>is</w:t>
      </w:r>
      <w:r>
        <w:t xml:space="preserve"> effect will also provide </w:t>
      </w:r>
      <w:r w:rsidR="00FB79F7">
        <w:t>significant</w:t>
      </w:r>
      <w:r>
        <w:t xml:space="preserve"> short-term economic benefits to Nova Scotia</w:t>
      </w:r>
      <w:r w:rsidR="00905D18">
        <w:t xml:space="preserve"> as the additional income is spent</w:t>
      </w:r>
      <w:r>
        <w:t xml:space="preserve">. </w:t>
      </w:r>
    </w:p>
    <w:p w:rsidR="007C62A8" w:rsidRDefault="001C0D7D" w:rsidP="00880960">
      <w:r>
        <w:t xml:space="preserve">The report examines each of these </w:t>
      </w:r>
      <w:r w:rsidR="00905D18">
        <w:t xml:space="preserve">short-term </w:t>
      </w:r>
      <w:r>
        <w:t xml:space="preserve">effects and provides a comparison with other sectors so that the importance of an increase in </w:t>
      </w:r>
      <w:r w:rsidR="00905D18">
        <w:t xml:space="preserve">ELC </w:t>
      </w:r>
      <w:r>
        <w:t xml:space="preserve">activity can be put into the proper context. </w:t>
      </w:r>
      <w:r w:rsidR="006820FE">
        <w:t>In order for the analysis to be comparable to other sectors of the economy the analysis focuses on the increase in GDP that is generated from a</w:t>
      </w:r>
      <w:r w:rsidR="00905D18">
        <w:t xml:space="preserve"> dollar</w:t>
      </w:r>
      <w:r w:rsidR="006820FE">
        <w:t xml:space="preserve"> increase in </w:t>
      </w:r>
      <w:r w:rsidR="00905D18">
        <w:t>output</w:t>
      </w:r>
      <w:r w:rsidR="006820FE">
        <w:t xml:space="preserve"> in the ELC sector, which is called the </w:t>
      </w:r>
      <w:r w:rsidR="00ED506F">
        <w:t>GDP</w:t>
      </w:r>
      <w:r w:rsidR="006820FE">
        <w:t xml:space="preserve"> multiplier. The employment multiplier is also calculated, which is presented as the number of jobs created per million dollars of the initial increase in expenditure</w:t>
      </w:r>
      <w:r w:rsidR="00ED506F">
        <w:t xml:space="preserve"> or output</w:t>
      </w:r>
      <w:r w:rsidR="006820FE">
        <w:t xml:space="preserve">. </w:t>
      </w:r>
      <w:r w:rsidR="00DD73AC">
        <w:t>The</w:t>
      </w:r>
      <w:r>
        <w:t xml:space="preserve"> analysis uses historic economic data </w:t>
      </w:r>
      <w:r w:rsidR="00DD73AC">
        <w:t>and input-output model estimates from Statistics Canada</w:t>
      </w:r>
      <w:r>
        <w:t xml:space="preserve"> a</w:t>
      </w:r>
      <w:r w:rsidR="00DD73AC">
        <w:t xml:space="preserve">s well as the </w:t>
      </w:r>
      <w:r>
        <w:t xml:space="preserve">personal income tax schedules for Nova Scotia. </w:t>
      </w:r>
      <w:r w:rsidR="006820FE">
        <w:t>T</w:t>
      </w:r>
      <w:r>
        <w:t xml:space="preserve">he </w:t>
      </w:r>
      <w:r w:rsidR="00C03AF7">
        <w:t xml:space="preserve">estimates illustrate the economic impact from an expansion of </w:t>
      </w:r>
      <w:r>
        <w:t>the existing ELC sector</w:t>
      </w:r>
      <w:r w:rsidR="00ED506F">
        <w:t xml:space="preserve">. </w:t>
      </w:r>
      <w:r w:rsidR="00C070FD">
        <w:t xml:space="preserve">This </w:t>
      </w:r>
      <w:r>
        <w:t xml:space="preserve">means that the </w:t>
      </w:r>
      <w:r w:rsidR="00C070FD">
        <w:t xml:space="preserve">workforce composition, wages and quality of ELC services are assumed to </w:t>
      </w:r>
      <w:r w:rsidR="00367900">
        <w:t>be</w:t>
      </w:r>
      <w:r w:rsidR="00C070FD">
        <w:t xml:space="preserve"> the same as current</w:t>
      </w:r>
      <w:r w:rsidR="00ED506F">
        <w:t>ly</w:t>
      </w:r>
      <w:r w:rsidR="00C070FD">
        <w:t xml:space="preserve"> exists. </w:t>
      </w:r>
    </w:p>
    <w:p w:rsidR="00D3169F" w:rsidRDefault="006C6133" w:rsidP="00880960">
      <w:r>
        <w:t xml:space="preserve">The </w:t>
      </w:r>
      <w:r w:rsidR="00D73F5C">
        <w:t xml:space="preserve">combined </w:t>
      </w:r>
      <w:r>
        <w:t xml:space="preserve">direct and indirect </w:t>
      </w:r>
      <w:r w:rsidR="00D73F5C">
        <w:t xml:space="preserve">GDP </w:t>
      </w:r>
      <w:r>
        <w:t xml:space="preserve">impact </w:t>
      </w:r>
      <w:r w:rsidR="00D73F5C">
        <w:t>is</w:t>
      </w:r>
      <w:r>
        <w:t xml:space="preserve"> estimated by Statistics Canada to be $0.95 per dollar of </w:t>
      </w:r>
      <w:r w:rsidR="006C4FFA">
        <w:t xml:space="preserve">additional </w:t>
      </w:r>
      <w:r>
        <w:t>ELC</w:t>
      </w:r>
      <w:r w:rsidR="001E2264">
        <w:t xml:space="preserve"> sector output</w:t>
      </w:r>
      <w:r>
        <w:t>. T</w:t>
      </w:r>
      <w:r w:rsidR="00923F79">
        <w:t>his</w:t>
      </w:r>
      <w:r w:rsidR="00D3169F">
        <w:t xml:space="preserve"> multiplier </w:t>
      </w:r>
      <w:r w:rsidR="00D73F5C">
        <w:t xml:space="preserve">is larger than </w:t>
      </w:r>
      <w:r w:rsidR="00163012">
        <w:t xml:space="preserve">that calculated </w:t>
      </w:r>
      <w:r w:rsidR="00D73F5C">
        <w:t xml:space="preserve">for </w:t>
      </w:r>
      <w:r w:rsidR="003C1827">
        <w:t xml:space="preserve">most </w:t>
      </w:r>
      <w:r w:rsidR="00D73F5C">
        <w:t xml:space="preserve">other major industries in Nova Scotia. </w:t>
      </w:r>
      <w:r w:rsidR="007A4FF3">
        <w:t>This means that for every dollar increase in spending in the ELC sector the province will experience a larger short-term gain in GDP than for most other industries</w:t>
      </w:r>
      <w:r w:rsidR="00C03AF7">
        <w:t xml:space="preserve"> via the direct and indirect effects alone</w:t>
      </w:r>
      <w:r w:rsidR="007A4FF3">
        <w:t>.</w:t>
      </w:r>
    </w:p>
    <w:p w:rsidR="00625B0C" w:rsidRDefault="00D73F5C" w:rsidP="005F3F57">
      <w:r>
        <w:t>In addition, the ELC sector provide</w:t>
      </w:r>
      <w:r w:rsidR="000F22FC">
        <w:t>s</w:t>
      </w:r>
      <w:r>
        <w:t xml:space="preserve"> a large boost to the </w:t>
      </w:r>
      <w:r w:rsidR="000F22FC">
        <w:t xml:space="preserve">provincial </w:t>
      </w:r>
      <w:r>
        <w:t>economy via the induced effect</w:t>
      </w:r>
      <w:r w:rsidR="00D3169F">
        <w:t xml:space="preserve"> as those who are hired </w:t>
      </w:r>
      <w:r w:rsidR="000F22FC">
        <w:t xml:space="preserve">in the direct and indirect rounds </w:t>
      </w:r>
      <w:r w:rsidR="00D3169F">
        <w:t>spend their income</w:t>
      </w:r>
      <w:r>
        <w:t>. The</w:t>
      </w:r>
      <w:r w:rsidRPr="00EA4AC0">
        <w:t xml:space="preserve"> </w:t>
      </w:r>
      <w:r w:rsidR="00D3169F">
        <w:t xml:space="preserve">ELC sector has </w:t>
      </w:r>
      <w:r w:rsidR="008B199D">
        <w:t>a large</w:t>
      </w:r>
      <w:r w:rsidR="00111606">
        <w:t xml:space="preserve"> induced GDP multiplier</w:t>
      </w:r>
      <w:r w:rsidR="00D3169F">
        <w:t xml:space="preserve"> </w:t>
      </w:r>
      <w:r>
        <w:t>for</w:t>
      </w:r>
      <w:r w:rsidRPr="00EA4AC0">
        <w:t xml:space="preserve"> t</w:t>
      </w:r>
      <w:r w:rsidR="00625B0C">
        <w:t>wo</w:t>
      </w:r>
      <w:r>
        <w:t xml:space="preserve"> reasons</w:t>
      </w:r>
      <w:r w:rsidRPr="00EA4AC0">
        <w:t xml:space="preserve">. First, </w:t>
      </w:r>
      <w:r>
        <w:t>labour costs</w:t>
      </w:r>
      <w:r w:rsidRPr="00EA4AC0">
        <w:t xml:space="preserve"> are a very large share of total costs in the sector. </w:t>
      </w:r>
      <w:r w:rsidR="00F91040">
        <w:t xml:space="preserve">Over 80 cents of every dollar spent by the sector is devoted to labour costs, which directly contribute to the increase in the induced effect. Second, </w:t>
      </w:r>
      <w:r w:rsidR="00625B0C">
        <w:t>the existing ELC sector has low wages.</w:t>
      </w:r>
      <w:r w:rsidR="00F91040">
        <w:t xml:space="preserve"> </w:t>
      </w:r>
      <w:r w:rsidR="00625B0C">
        <w:t>This</w:t>
      </w:r>
      <w:r w:rsidR="00F91040" w:rsidRPr="00EA4AC0">
        <w:t xml:space="preserve"> mean</w:t>
      </w:r>
      <w:r w:rsidR="00625B0C">
        <w:t>s</w:t>
      </w:r>
      <w:r w:rsidR="00F91040" w:rsidRPr="00EA4AC0">
        <w:t xml:space="preserve"> the induced effect is quite</w:t>
      </w:r>
      <w:r w:rsidR="00F91040" w:rsidRPr="00B35EAB">
        <w:t xml:space="preserve"> </w:t>
      </w:r>
      <w:r w:rsidR="00F91040" w:rsidRPr="00EA4AC0">
        <w:t xml:space="preserve">large per dollar increase in </w:t>
      </w:r>
      <w:r w:rsidR="00F91040">
        <w:t>labour income</w:t>
      </w:r>
      <w:r w:rsidR="00F91040" w:rsidRPr="00EA4AC0">
        <w:t xml:space="preserve"> because the marginal tax rate and the marginal propensity to save</w:t>
      </w:r>
      <w:r w:rsidR="00F91040">
        <w:t xml:space="preserve"> </w:t>
      </w:r>
      <w:r w:rsidR="00F91040" w:rsidRPr="00EA4AC0">
        <w:t>are low</w:t>
      </w:r>
      <w:r w:rsidR="006C4FFA">
        <w:t xml:space="preserve"> for these workers</w:t>
      </w:r>
      <w:r w:rsidR="00F91040" w:rsidRPr="00EA4AC0">
        <w:t xml:space="preserve">. </w:t>
      </w:r>
      <w:r w:rsidR="00F91040">
        <w:t>Th</w:t>
      </w:r>
      <w:r w:rsidR="00625B0C">
        <w:t xml:space="preserve">e </w:t>
      </w:r>
      <w:r w:rsidR="00F91040">
        <w:t xml:space="preserve">induced effect on GDP is </w:t>
      </w:r>
      <w:r w:rsidR="00463AAA">
        <w:t>estimated to be $1.27 per dollar of the initial increase in output</w:t>
      </w:r>
      <w:r w:rsidR="00F91040">
        <w:t xml:space="preserve">. </w:t>
      </w:r>
    </w:p>
    <w:p w:rsidR="00D45264" w:rsidRDefault="000F22FC" w:rsidP="005F3F57">
      <w:r>
        <w:t>This study did not examine the imp</w:t>
      </w:r>
      <w:r w:rsidR="00620DEB">
        <w:t>act</w:t>
      </w:r>
      <w:r>
        <w:t xml:space="preserve"> </w:t>
      </w:r>
      <w:r w:rsidR="00620DEB">
        <w:t>on the economic multipliers caused by</w:t>
      </w:r>
      <w:r>
        <w:t xml:space="preserve"> higher wages for early childhood educators. </w:t>
      </w:r>
      <w:r w:rsidR="00620DEB">
        <w:t>O</w:t>
      </w:r>
      <w:r w:rsidR="00D45264">
        <w:t xml:space="preserve">ther research </w:t>
      </w:r>
      <w:r w:rsidR="00620DEB">
        <w:t>has</w:t>
      </w:r>
      <w:r w:rsidR="00D45264">
        <w:t xml:space="preserve"> examine</w:t>
      </w:r>
      <w:r w:rsidR="00620DEB">
        <w:t>d</w:t>
      </w:r>
      <w:r w:rsidR="00D45264">
        <w:t xml:space="preserve"> the short-term economic effect on a provincial economy </w:t>
      </w:r>
      <w:r w:rsidR="001E2264">
        <w:t xml:space="preserve">from an expansion of ELC </w:t>
      </w:r>
      <w:r w:rsidR="00620DEB">
        <w:t>output</w:t>
      </w:r>
      <w:r w:rsidR="001E2264">
        <w:t xml:space="preserve"> </w:t>
      </w:r>
      <w:r w:rsidR="003A3922">
        <w:t>that pa</w:t>
      </w:r>
      <w:r w:rsidR="00620DEB">
        <w:t>ys</w:t>
      </w:r>
      <w:r w:rsidR="003A3922">
        <w:t xml:space="preserve"> much </w:t>
      </w:r>
      <w:r w:rsidR="001E2264">
        <w:t>higher wages</w:t>
      </w:r>
      <w:r w:rsidR="00620DEB">
        <w:t>. This analysis</w:t>
      </w:r>
      <w:r w:rsidR="001E2264">
        <w:t xml:space="preserve"> </w:t>
      </w:r>
      <w:r w:rsidR="003A3922">
        <w:lastRenderedPageBreak/>
        <w:t>found that the ELC sector still had one of the highest GDP multipliers of all the sectors in th</w:t>
      </w:r>
      <w:r w:rsidR="00620DEB">
        <w:t>at</w:t>
      </w:r>
      <w:r w:rsidR="003A3922">
        <w:t xml:space="preserve"> provincial economy. </w:t>
      </w:r>
      <w:r w:rsidR="00D45264">
        <w:t>This type of analysis, however, was beyond the scope of the current study.</w:t>
      </w:r>
    </w:p>
    <w:p w:rsidR="00620DEB" w:rsidRDefault="00620DEB" w:rsidP="005F3F57">
      <w:r>
        <w:t xml:space="preserve">The combined direct, indirect and induced GDP multiplier is 2.23. This is larger than the multiplier for the other major sectors of the provincial economy. The implication is that an expansion of the ELC sector will provide much more short-term stimulus to the Nova Scotia economy than a similar expansion of any other major sector via the direct, indirect and induced effects. </w:t>
      </w:r>
      <w:r w:rsidR="00101AAA">
        <w:t>T</w:t>
      </w:r>
      <w:r>
        <w:t xml:space="preserve">he short-term GDP multiplier </w:t>
      </w:r>
      <w:r w:rsidR="00101AAA">
        <w:t xml:space="preserve">for the ELC sector </w:t>
      </w:r>
      <w:r>
        <w:t xml:space="preserve">is </w:t>
      </w:r>
      <w:r w:rsidR="00101AAA">
        <w:t xml:space="preserve">also </w:t>
      </w:r>
      <w:r>
        <w:t xml:space="preserve">larger than that for many government programs and larger than the short-term impact </w:t>
      </w:r>
      <w:r w:rsidR="00101AAA">
        <w:t xml:space="preserve">on GDP </w:t>
      </w:r>
      <w:r>
        <w:t xml:space="preserve">from </w:t>
      </w:r>
      <w:r w:rsidR="00101AAA">
        <w:t xml:space="preserve">an </w:t>
      </w:r>
      <w:r>
        <w:t xml:space="preserve">increase </w:t>
      </w:r>
      <w:r w:rsidR="00101AAA">
        <w:t xml:space="preserve">in </w:t>
      </w:r>
      <w:r>
        <w:t>taxes</w:t>
      </w:r>
    </w:p>
    <w:p w:rsidR="008B5E7C" w:rsidRDefault="008B199D" w:rsidP="005F3F57">
      <w:r>
        <w:t>In add</w:t>
      </w:r>
      <w:r w:rsidR="00620DEB">
        <w:t>ition to a large GDP multiplier an</w:t>
      </w:r>
      <w:r>
        <w:t xml:space="preserve"> </w:t>
      </w:r>
      <w:r w:rsidR="00625B0C">
        <w:t>expansion of</w:t>
      </w:r>
      <w:r>
        <w:t xml:space="preserve"> the ELC sector also creates a large number of jobs.</w:t>
      </w:r>
      <w:r w:rsidR="00625B0C">
        <w:t xml:space="preserve"> The estimated direct and indirect effects add </w:t>
      </w:r>
      <w:r w:rsidR="003A3922">
        <w:t xml:space="preserve">an estimated </w:t>
      </w:r>
      <w:r w:rsidR="00625B0C">
        <w:t xml:space="preserve">31.6 jobs per million dollars. This multiplier is the largest of the major sectors in Nova Scotia. Furthermore, the induce effect is very large so </w:t>
      </w:r>
      <w:r w:rsidR="00620DEB">
        <w:t>more</w:t>
      </w:r>
      <w:r w:rsidR="00625B0C">
        <w:t xml:space="preserve"> jobs </w:t>
      </w:r>
      <w:r w:rsidR="00620DEB">
        <w:t xml:space="preserve">are added </w:t>
      </w:r>
      <w:r w:rsidR="00625B0C">
        <w:t xml:space="preserve">in the provincial economy. </w:t>
      </w:r>
      <w:r>
        <w:t xml:space="preserve">It is estimated that the induced effect creates 15.1 jobs in Nova Scotia per million dollars and the combined </w:t>
      </w:r>
      <w:r w:rsidR="00007BD1">
        <w:t xml:space="preserve">direct, indirect and induced </w:t>
      </w:r>
      <w:r>
        <w:t xml:space="preserve">employment multiplier is 46.8 jobs in Nova Scotia per million dollars of ELC spending. </w:t>
      </w:r>
      <w:r w:rsidR="00D80A26">
        <w:t xml:space="preserve">The combination of large GDP and employment multipliers means that a dollar invested in the ELC sector has a larger effect on the </w:t>
      </w:r>
      <w:r w:rsidR="003A3922">
        <w:t xml:space="preserve">provincial </w:t>
      </w:r>
      <w:r w:rsidR="00D80A26">
        <w:t>economy and jobs than a dollar used to support any of the other major sectors in the province</w:t>
      </w:r>
      <w:r w:rsidR="00CB2F44" w:rsidRPr="00BA46C3">
        <w:t>.</w:t>
      </w:r>
    </w:p>
    <w:p w:rsidR="0005195D" w:rsidRDefault="008B5E7C" w:rsidP="005F3F57">
      <w:r>
        <w:t>A</w:t>
      </w:r>
      <w:r w:rsidR="008D4207">
        <w:t xml:space="preserve">n expansion in the number of jobs in the ELC </w:t>
      </w:r>
      <w:r w:rsidR="00923F79">
        <w:t>sector</w:t>
      </w:r>
      <w:r w:rsidR="006C6133">
        <w:t xml:space="preserve"> </w:t>
      </w:r>
      <w:r>
        <w:t xml:space="preserve">also </w:t>
      </w:r>
      <w:r w:rsidR="006C6133">
        <w:t>permit</w:t>
      </w:r>
      <w:r w:rsidR="00923F79">
        <w:t>s</w:t>
      </w:r>
      <w:r w:rsidR="006C6133">
        <w:t xml:space="preserve"> more mothers</w:t>
      </w:r>
      <w:r w:rsidR="00880960">
        <w:t xml:space="preserve"> to go out and find work. </w:t>
      </w:r>
      <w:r w:rsidR="00C36707">
        <w:t xml:space="preserve">It is </w:t>
      </w:r>
      <w:r w:rsidR="005F3F57">
        <w:t>estimated</w:t>
      </w:r>
      <w:r w:rsidR="00C36707">
        <w:t xml:space="preserve"> that </w:t>
      </w:r>
      <w:r w:rsidR="0005195D">
        <w:t xml:space="preserve">an </w:t>
      </w:r>
      <w:r w:rsidR="0005195D" w:rsidRPr="00EA4AC0">
        <w:t xml:space="preserve">extra </w:t>
      </w:r>
      <w:r w:rsidR="005F3F57">
        <w:t>31</w:t>
      </w:r>
      <w:r w:rsidR="0005195D" w:rsidRPr="00EA4AC0">
        <w:t xml:space="preserve"> </w:t>
      </w:r>
      <w:r w:rsidR="005F3F57">
        <w:t>early childhood educators in the ELC sector</w:t>
      </w:r>
      <w:r w:rsidR="0005195D">
        <w:t xml:space="preserve"> would support over 193 child care spaces. </w:t>
      </w:r>
      <w:r w:rsidR="005F3F57">
        <w:t xml:space="preserve">Using conservative assumptions that only half of these spaces are full-time spaces, and that only 22% of the full-time spaces are used by mothers to </w:t>
      </w:r>
      <w:r w:rsidR="00923F79">
        <w:t>obtain</w:t>
      </w:r>
      <w:r w:rsidR="005F3F57">
        <w:t xml:space="preserve"> employment, this number of spaces would permit 16.9 mothers to find full-time work. And this increase in employment would also have an induced economic effect. Combining all the potential channels together means that </w:t>
      </w:r>
      <w:r w:rsidR="00007BD1">
        <w:t>every additional</w:t>
      </w:r>
      <w:r w:rsidR="005F3F57">
        <w:t xml:space="preserve"> early childhood educator supports </w:t>
      </w:r>
      <w:r w:rsidR="005E2FE8">
        <w:t>1</w:t>
      </w:r>
      <w:r w:rsidR="005F3F57">
        <w:t>.17 other jobs.</w:t>
      </w:r>
    </w:p>
    <w:p w:rsidR="007B0B4D" w:rsidRDefault="005E2FE8" w:rsidP="008D4207">
      <w:r w:rsidRPr="00EA4AC0">
        <w:t xml:space="preserve">The increase in personal income and overall economic activity </w:t>
      </w:r>
      <w:r>
        <w:t xml:space="preserve">described above </w:t>
      </w:r>
      <w:r w:rsidRPr="00EA4AC0">
        <w:t>will generate government revenues</w:t>
      </w:r>
      <w:r w:rsidR="00007BD1">
        <w:t xml:space="preserve"> in the short-run</w:t>
      </w:r>
      <w:r w:rsidRPr="00EA4AC0">
        <w:t>.</w:t>
      </w:r>
      <w:r>
        <w:t xml:space="preserve"> </w:t>
      </w:r>
      <w:r w:rsidR="00A821F4">
        <w:t xml:space="preserve">The </w:t>
      </w:r>
      <w:r w:rsidR="004E1FD4">
        <w:t>revenue</w:t>
      </w:r>
      <w:r w:rsidR="00A821F4">
        <w:t xml:space="preserve"> </w:t>
      </w:r>
      <w:r w:rsidR="00A821F4" w:rsidRPr="00EA4AC0">
        <w:t xml:space="preserve">that governments collectively gain from the increase in economic activity </w:t>
      </w:r>
      <w:r w:rsidR="000F6B28">
        <w:t>as a result of a million dollar</w:t>
      </w:r>
      <w:r w:rsidR="004E1FD4">
        <w:t xml:space="preserve"> increase in ELC spending </w:t>
      </w:r>
      <w:r w:rsidR="00A821F4">
        <w:t xml:space="preserve">is </w:t>
      </w:r>
      <w:r w:rsidR="00042826">
        <w:t xml:space="preserve">estimated to be </w:t>
      </w:r>
      <w:r w:rsidR="004E1FD4">
        <w:t xml:space="preserve">$860.7 thousand. Notably, this increase in government revenues </w:t>
      </w:r>
      <w:r w:rsidR="00A821F4">
        <w:t xml:space="preserve">is in excess of the $806.1 thousand </w:t>
      </w:r>
      <w:r w:rsidR="004E1FD4" w:rsidRPr="00EA4AC0">
        <w:t xml:space="preserve">cost </w:t>
      </w:r>
      <w:r w:rsidR="004E1FD4">
        <w:t>of</w:t>
      </w:r>
      <w:r w:rsidR="00A821F4">
        <w:t xml:space="preserve"> </w:t>
      </w:r>
      <w:r w:rsidR="00A821F4" w:rsidRPr="00EA4AC0">
        <w:t xml:space="preserve">hiring </w:t>
      </w:r>
      <w:r w:rsidR="00A821F4">
        <w:t>31</w:t>
      </w:r>
      <w:r w:rsidR="00A821F4" w:rsidRPr="00EA4AC0">
        <w:t xml:space="preserve"> </w:t>
      </w:r>
      <w:r w:rsidR="00A821F4">
        <w:t>ELC</w:t>
      </w:r>
      <w:r w:rsidR="00A821F4" w:rsidRPr="00EA4AC0">
        <w:t xml:space="preserve"> workers.</w:t>
      </w:r>
      <w:r w:rsidR="00007BD1">
        <w:rPr>
          <w:rStyle w:val="FootnoteReference"/>
        </w:rPr>
        <w:footnoteReference w:id="1"/>
      </w:r>
      <w:r w:rsidR="00A821F4" w:rsidRPr="00EA4AC0">
        <w:t xml:space="preserve"> </w:t>
      </w:r>
      <w:r w:rsidR="0037129F">
        <w:t>G</w:t>
      </w:r>
      <w:r w:rsidR="004E1FD4">
        <w:t xml:space="preserve">overnment revenues are spread between the federal, provincial and Canada </w:t>
      </w:r>
      <w:r w:rsidR="00633B9F">
        <w:t>P</w:t>
      </w:r>
      <w:r w:rsidR="004E1FD4">
        <w:t xml:space="preserve">ension </w:t>
      </w:r>
      <w:r w:rsidR="00633B9F">
        <w:t>P</w:t>
      </w:r>
      <w:r w:rsidR="004E1FD4">
        <w:t>lan</w:t>
      </w:r>
      <w:r w:rsidR="0037129F">
        <w:t>, however.  T</w:t>
      </w:r>
      <w:r w:rsidR="00042826">
        <w:t xml:space="preserve">he provincial government, which is responsible for ELC, receives less tax revenue than the federal government from an increase in ELC </w:t>
      </w:r>
      <w:r w:rsidR="00101AAA">
        <w:t>activity</w:t>
      </w:r>
      <w:r w:rsidR="00042826">
        <w:t>.</w:t>
      </w:r>
      <w:r w:rsidR="0037129F">
        <w:t xml:space="preserve"> So an expansion of the ELC sector via a provincial government program does not cover the cost of the program</w:t>
      </w:r>
      <w:r w:rsidR="00101AAA">
        <w:t xml:space="preserve"> incurred by the provincial government</w:t>
      </w:r>
      <w:r w:rsidR="0037129F">
        <w:t>.</w:t>
      </w:r>
    </w:p>
    <w:p w:rsidR="00E67069" w:rsidRDefault="007B0B4D" w:rsidP="007D1656">
      <w:pPr>
        <w:pStyle w:val="Heading2"/>
        <w:spacing w:before="0"/>
      </w:pPr>
      <w:r>
        <w:rPr>
          <w:rFonts w:cs="Times New Roman"/>
          <w:szCs w:val="22"/>
        </w:rPr>
        <w:br w:type="page"/>
      </w:r>
      <w:bookmarkStart w:id="7" w:name="_Toc283303664"/>
      <w:r w:rsidR="00C836DD">
        <w:rPr>
          <w:rFonts w:cs="Times New Roman"/>
          <w:szCs w:val="22"/>
        </w:rPr>
        <w:lastRenderedPageBreak/>
        <w:t xml:space="preserve">1. </w:t>
      </w:r>
      <w:r w:rsidR="00E67069">
        <w:t>Introduction</w:t>
      </w:r>
      <w:bookmarkEnd w:id="0"/>
      <w:bookmarkEnd w:id="6"/>
      <w:bookmarkEnd w:id="7"/>
    </w:p>
    <w:p w:rsidR="00D1044D" w:rsidRDefault="00140AE3" w:rsidP="00101AAA">
      <w:r>
        <w:t>This study examines the sh</w:t>
      </w:r>
      <w:r w:rsidR="00D1044D">
        <w:t xml:space="preserve">ort-term economic </w:t>
      </w:r>
      <w:r w:rsidR="002C5129">
        <w:t>effects</w:t>
      </w:r>
      <w:r w:rsidR="00D1044D">
        <w:t xml:space="preserve"> </w:t>
      </w:r>
      <w:r w:rsidR="00101AAA">
        <w:t>caused by</w:t>
      </w:r>
      <w:r w:rsidR="00D1044D">
        <w:t xml:space="preserve"> an increase</w:t>
      </w:r>
      <w:r>
        <w:t xml:space="preserve"> </w:t>
      </w:r>
      <w:r w:rsidR="00D1044D">
        <w:t xml:space="preserve">in </w:t>
      </w:r>
      <w:r w:rsidR="00101AAA">
        <w:t>activity</w:t>
      </w:r>
      <w:r>
        <w:t xml:space="preserve"> </w:t>
      </w:r>
      <w:r w:rsidR="00101AAA">
        <w:t xml:space="preserve">(called output in the economic literature) </w:t>
      </w:r>
      <w:r w:rsidR="00A02765">
        <w:t>in</w:t>
      </w:r>
      <w:r w:rsidR="00D1044D">
        <w:t xml:space="preserve"> </w:t>
      </w:r>
      <w:r w:rsidR="00101AAA">
        <w:t xml:space="preserve">the </w:t>
      </w:r>
      <w:r w:rsidR="00F45B10">
        <w:t>regulated</w:t>
      </w:r>
      <w:r w:rsidR="00434FF5">
        <w:t xml:space="preserve"> </w:t>
      </w:r>
      <w:r>
        <w:t xml:space="preserve">early learning and care (ELC) </w:t>
      </w:r>
      <w:r w:rsidR="00101AAA">
        <w:t xml:space="preserve">sector </w:t>
      </w:r>
      <w:r>
        <w:t xml:space="preserve">in the province of Nova Scotia. </w:t>
      </w:r>
      <w:r w:rsidR="00434FF5">
        <w:t>T</w:t>
      </w:r>
      <w:r w:rsidR="00D1044D">
        <w:t>here are several distinct components of the economic impact</w:t>
      </w:r>
      <w:r w:rsidR="00101AAA">
        <w:t>--direct, indirect, induced and mothers' labour supply effect</w:t>
      </w:r>
      <w:r w:rsidR="00D1044D">
        <w:t xml:space="preserve">. </w:t>
      </w:r>
      <w:r w:rsidR="00101AAA">
        <w:t xml:space="preserve">First an increase in ELC spending will directly boost GDP and employment in the ELC sector. This is the direct economic effect. Second, the expansion of output in the ELC sector will increase demand for the goods and services of supplying sectors, and their suppliers, etc. This is the indirect economic effect. Third, the increase in employment and income generated by the direct and indirect channels will boost the economy as the extra income is spent. This is the induced economic effect. </w:t>
      </w:r>
      <w:r w:rsidR="00D1044D">
        <w:t xml:space="preserve">For most sectors, the total </w:t>
      </w:r>
      <w:r w:rsidR="002C5129">
        <w:t xml:space="preserve">short-term economic </w:t>
      </w:r>
      <w:r w:rsidR="00D1044D">
        <w:t>impact ends at this point, but the ELC sector has an additional sh</w:t>
      </w:r>
      <w:r w:rsidR="002C5129">
        <w:t>ort-term economic effect.</w:t>
      </w:r>
      <w:r w:rsidR="00D1044D">
        <w:t xml:space="preserve"> </w:t>
      </w:r>
      <w:r w:rsidR="002C5129">
        <w:t>T</w:t>
      </w:r>
      <w:r w:rsidR="00D1044D">
        <w:t>he provision of these services allows parents to find work</w:t>
      </w:r>
      <w:r w:rsidR="00101AAA">
        <w:t xml:space="preserve"> and earn income</w:t>
      </w:r>
      <w:r w:rsidR="00D1044D">
        <w:t xml:space="preserve">. </w:t>
      </w:r>
      <w:r w:rsidR="002C5129">
        <w:t>Th</w:t>
      </w:r>
      <w:r w:rsidR="00E02E29">
        <w:t>e</w:t>
      </w:r>
      <w:r w:rsidR="002C5129">
        <w:t xml:space="preserve"> labour supply effect, therefore, has an additional impact on the economy.</w:t>
      </w:r>
      <w:r w:rsidR="00101AAA" w:rsidRPr="00101AAA">
        <w:t xml:space="preserve"> </w:t>
      </w:r>
    </w:p>
    <w:p w:rsidR="008F2188" w:rsidRDefault="002C5129" w:rsidP="008F2188">
      <w:r w:rsidRPr="002C5129">
        <w:t xml:space="preserve">To put this analysis into context the </w:t>
      </w:r>
      <w:r w:rsidR="00994CFB">
        <w:t>next</w:t>
      </w:r>
      <w:r w:rsidRPr="002C5129">
        <w:t xml:space="preserve"> section of the re</w:t>
      </w:r>
      <w:r w:rsidR="00994CFB">
        <w:t xml:space="preserve">port provides a brief review of </w:t>
      </w:r>
      <w:r w:rsidR="00A02765">
        <w:t xml:space="preserve">the </w:t>
      </w:r>
      <w:r w:rsidR="00F45B10">
        <w:t>literature that examines the benefits of quality ELC for children, their parents and society</w:t>
      </w:r>
      <w:r w:rsidR="00D816ED">
        <w:t xml:space="preserve"> generally</w:t>
      </w:r>
      <w:r w:rsidR="00F45B10">
        <w:t xml:space="preserve">. The third section examines the </w:t>
      </w:r>
      <w:r w:rsidR="00A02765">
        <w:t xml:space="preserve">method </w:t>
      </w:r>
      <w:r w:rsidR="00994CFB">
        <w:t xml:space="preserve">used </w:t>
      </w:r>
      <w:r w:rsidR="00A02765">
        <w:t xml:space="preserve">to estimate short-term effects </w:t>
      </w:r>
      <w:r w:rsidR="00994CFB">
        <w:t xml:space="preserve">and </w:t>
      </w:r>
      <w:r w:rsidRPr="002C5129">
        <w:t>describes the economic impact found</w:t>
      </w:r>
      <w:r>
        <w:t xml:space="preserve"> by other studies</w:t>
      </w:r>
      <w:r w:rsidR="00880960" w:rsidRPr="00880960">
        <w:t xml:space="preserve"> </w:t>
      </w:r>
      <w:r w:rsidR="00880960">
        <w:t>for ELC</w:t>
      </w:r>
      <w:r w:rsidRPr="002C5129">
        <w:t xml:space="preserve">. </w:t>
      </w:r>
      <w:r w:rsidR="00D1044D" w:rsidRPr="002C5129">
        <w:t xml:space="preserve">In the </w:t>
      </w:r>
      <w:r w:rsidR="00F45B10">
        <w:t>fourth</w:t>
      </w:r>
      <w:r w:rsidR="00D1044D" w:rsidRPr="002C5129">
        <w:t xml:space="preserve"> section, the</w:t>
      </w:r>
      <w:r w:rsidR="00140AE3" w:rsidRPr="002C5129">
        <w:t xml:space="preserve"> </w:t>
      </w:r>
      <w:r>
        <w:t xml:space="preserve">direct and indirect economic impacts from Statistics Canada’s input-output simulation model </w:t>
      </w:r>
      <w:r w:rsidR="00A02765">
        <w:t xml:space="preserve">for Nova Scotia </w:t>
      </w:r>
      <w:r>
        <w:t xml:space="preserve">are described. </w:t>
      </w:r>
      <w:r w:rsidR="00D02BA3">
        <w:t>In the f</w:t>
      </w:r>
      <w:r w:rsidR="00F45B10">
        <w:t>ift</w:t>
      </w:r>
      <w:r w:rsidR="00D02BA3">
        <w:t>h section</w:t>
      </w:r>
      <w:r w:rsidR="00A02765">
        <w:t xml:space="preserve"> the induced economic impact is examined.</w:t>
      </w:r>
      <w:r>
        <w:t xml:space="preserve"> </w:t>
      </w:r>
      <w:r w:rsidR="000875F7">
        <w:t xml:space="preserve">The </w:t>
      </w:r>
      <w:r w:rsidR="00F45B10">
        <w:t>sixth</w:t>
      </w:r>
      <w:r w:rsidR="000875F7">
        <w:t xml:space="preserve"> section illustrates</w:t>
      </w:r>
      <w:r w:rsidR="00A02765">
        <w:t xml:space="preserve"> the combined direct, indirect and induced </w:t>
      </w:r>
      <w:r w:rsidR="000875F7">
        <w:t xml:space="preserve">GDP </w:t>
      </w:r>
      <w:r w:rsidR="00A02765">
        <w:t xml:space="preserve">effects and compares </w:t>
      </w:r>
      <w:r w:rsidR="000875F7">
        <w:t>it</w:t>
      </w:r>
      <w:r w:rsidR="00A02765">
        <w:t xml:space="preserve"> with those for other industries in Nova Scotia. </w:t>
      </w:r>
      <w:r w:rsidR="000875F7">
        <w:t>T</w:t>
      </w:r>
      <w:r w:rsidR="00633B9F">
        <w:t>he s</w:t>
      </w:r>
      <w:r w:rsidR="00F45B10">
        <w:t>even</w:t>
      </w:r>
      <w:r w:rsidR="00633B9F">
        <w:t xml:space="preserve">th section examines the labour supply effect. The </w:t>
      </w:r>
      <w:r w:rsidR="00F45B10">
        <w:t>eigh</w:t>
      </w:r>
      <w:r w:rsidR="00A02765">
        <w:t>th</w:t>
      </w:r>
      <w:r w:rsidR="00D02BA3">
        <w:t xml:space="preserve"> section</w:t>
      </w:r>
      <w:r w:rsidR="00A02765">
        <w:t xml:space="preserve"> </w:t>
      </w:r>
      <w:r w:rsidR="000875F7">
        <w:t>look</w:t>
      </w:r>
      <w:r w:rsidR="00A02765">
        <w:t xml:space="preserve">s </w:t>
      </w:r>
      <w:r w:rsidR="000875F7">
        <w:t xml:space="preserve">at </w:t>
      </w:r>
      <w:r w:rsidR="00A02765">
        <w:t xml:space="preserve">the </w:t>
      </w:r>
      <w:r w:rsidR="00D02BA3">
        <w:t>impact on governments’ revenues.</w:t>
      </w:r>
    </w:p>
    <w:p w:rsidR="002C3DB1" w:rsidRDefault="002C3DB1" w:rsidP="002C3DB1">
      <w:pPr>
        <w:pStyle w:val="Heading2"/>
        <w:spacing w:before="0"/>
      </w:pPr>
      <w:bookmarkStart w:id="8" w:name="_Toc283303665"/>
      <w:r>
        <w:rPr>
          <w:rFonts w:cs="Times New Roman"/>
          <w:szCs w:val="22"/>
        </w:rPr>
        <w:t>2. Literature Review of ELC Benefits</w:t>
      </w:r>
      <w:bookmarkEnd w:id="8"/>
    </w:p>
    <w:p w:rsidR="00AA7CA4" w:rsidRDefault="002C3DB1" w:rsidP="00AA7CA4">
      <w:r w:rsidRPr="00EA4AC0">
        <w:t>There is a large body of research that examines E</w:t>
      </w:r>
      <w:r>
        <w:t>L</w:t>
      </w:r>
      <w:r w:rsidRPr="00EA4AC0">
        <w:t>C and its impact on children, their parents and society a</w:t>
      </w:r>
      <w:r w:rsidR="00842E95">
        <w:t>s a whole including government</w:t>
      </w:r>
      <w:r w:rsidR="00E02E29">
        <w:t xml:space="preserve"> expenditures and revenue</w:t>
      </w:r>
      <w:r w:rsidR="00842E95">
        <w:t>s</w:t>
      </w:r>
      <w:r w:rsidRPr="00EA4AC0">
        <w:t xml:space="preserve">. </w:t>
      </w:r>
      <w:r w:rsidR="00F45B10">
        <w:t>I</w:t>
      </w:r>
      <w:r w:rsidRPr="00EA4AC0">
        <w:t xml:space="preserve">n the academic literature </w:t>
      </w:r>
      <w:r w:rsidR="00F45B10">
        <w:t xml:space="preserve">it is generally found </w:t>
      </w:r>
      <w:r w:rsidRPr="00EA4AC0">
        <w:t xml:space="preserve">that </w:t>
      </w:r>
      <w:r>
        <w:t xml:space="preserve">quality </w:t>
      </w:r>
      <w:r w:rsidRPr="00EA4AC0">
        <w:t>E</w:t>
      </w:r>
      <w:r>
        <w:t>L</w:t>
      </w:r>
      <w:r w:rsidRPr="00EA4AC0">
        <w:t>C programs improve disadvantaged children's cognitive abilities, future economic well-being and social outcomes</w:t>
      </w:r>
      <w:r w:rsidRPr="00EA4AC0">
        <w:rPr>
          <w:rStyle w:val="FootnoteReference"/>
        </w:rPr>
        <w:footnoteReference w:id="2"/>
      </w:r>
      <w:r w:rsidRPr="00EA4AC0">
        <w:t xml:space="preserve">. The literature also mainly agrees that </w:t>
      </w:r>
      <w:r>
        <w:t>quality ELC</w:t>
      </w:r>
      <w:r w:rsidRPr="00EA4AC0">
        <w:t xml:space="preserve"> programs improve cognitive abilities and future economic well-being of more advantaged children.</w:t>
      </w:r>
      <w:r w:rsidRPr="00EA4AC0">
        <w:rPr>
          <w:rStyle w:val="FootnoteReference"/>
        </w:rPr>
        <w:footnoteReference w:id="3"/>
      </w:r>
      <w:r w:rsidRPr="00EA4AC0">
        <w:t xml:space="preserve"> The literature is more divided on the effect of </w:t>
      </w:r>
      <w:r>
        <w:t>ELC</w:t>
      </w:r>
      <w:r w:rsidRPr="00EA4AC0">
        <w:t xml:space="preserve"> programs on children's socio-emotional development. The majority of articles argue that </w:t>
      </w:r>
      <w:r>
        <w:t>quality ELC</w:t>
      </w:r>
      <w:r w:rsidRPr="00EA4AC0">
        <w:t xml:space="preserve"> programs either have a positive or no effect on children's socio-emotional development while a minority of studies using non-experimental approaches</w:t>
      </w:r>
      <w:r w:rsidRPr="00EA4AC0">
        <w:rPr>
          <w:rStyle w:val="FootnoteReference"/>
        </w:rPr>
        <w:footnoteReference w:id="4"/>
      </w:r>
      <w:r w:rsidRPr="00EA4AC0">
        <w:t xml:space="preserve"> argue that children's socio-emotional development is negatively affected.</w:t>
      </w:r>
      <w:r w:rsidRPr="00EA4AC0">
        <w:rPr>
          <w:rStyle w:val="FootnoteReference"/>
        </w:rPr>
        <w:footnoteReference w:id="5"/>
      </w:r>
      <w:r w:rsidRPr="00EA4AC0">
        <w:t xml:space="preserve"> </w:t>
      </w:r>
      <w:r w:rsidR="00AA7CA4">
        <w:t>And s</w:t>
      </w:r>
      <w:r w:rsidR="00AA7CA4" w:rsidRPr="00EA4AC0">
        <w:rPr>
          <w:szCs w:val="22"/>
        </w:rPr>
        <w:t xml:space="preserve">ome research indicates that the quality of the child-mother interaction may be </w:t>
      </w:r>
      <w:r w:rsidR="00AA7CA4" w:rsidRPr="00EA4AC0">
        <w:rPr>
          <w:szCs w:val="22"/>
        </w:rPr>
        <w:lastRenderedPageBreak/>
        <w:t>jeopardised by low-quality care and extended periods of time spent in care.</w:t>
      </w:r>
      <w:r w:rsidR="00AA7CA4" w:rsidRPr="00EA4AC0">
        <w:rPr>
          <w:rStyle w:val="FootnoteReference"/>
          <w:szCs w:val="22"/>
        </w:rPr>
        <w:footnoteReference w:id="6"/>
      </w:r>
      <w:r w:rsidR="00AA7CA4" w:rsidRPr="00EA4AC0">
        <w:rPr>
          <w:szCs w:val="22"/>
        </w:rPr>
        <w:t xml:space="preserve"> </w:t>
      </w:r>
      <w:r w:rsidR="00AA7CA4">
        <w:rPr>
          <w:szCs w:val="22"/>
        </w:rPr>
        <w:t>In contrast, h</w:t>
      </w:r>
      <w:r w:rsidR="00AA7CA4" w:rsidRPr="00EA4AC0">
        <w:t>igh quality care is found to provide a multitude of positive outcomes.</w:t>
      </w:r>
      <w:r w:rsidR="00AA7CA4" w:rsidRPr="00EA4AC0">
        <w:rPr>
          <w:rStyle w:val="FootnoteReference"/>
        </w:rPr>
        <w:footnoteReference w:id="7"/>
      </w:r>
      <w:r w:rsidR="00AA7CA4" w:rsidRPr="00EA4AC0">
        <w:t xml:space="preserve"> </w:t>
      </w:r>
    </w:p>
    <w:p w:rsidR="00AA7CA4" w:rsidRPr="00EA4AC0" w:rsidRDefault="002C3DB1" w:rsidP="00AA7CA4">
      <w:r w:rsidRPr="00EA4AC0">
        <w:t xml:space="preserve">In order to reach a conclusion on the outcomes </w:t>
      </w:r>
      <w:r w:rsidR="00AA7CA4">
        <w:t xml:space="preserve">of ELC programs </w:t>
      </w:r>
      <w:r w:rsidRPr="00EA4AC0">
        <w:t xml:space="preserve">given sometimes conflicting evidence, it is therefore helpful to examine the research in </w:t>
      </w:r>
      <w:r w:rsidR="00E02E29">
        <w:t xml:space="preserve">greater detail. </w:t>
      </w:r>
      <w:r w:rsidRPr="00EA4AC0">
        <w:t xml:space="preserve">Barnett (2008) indicates that meta analysis shows that the developmental and socio-emotional effects are positive. </w:t>
      </w:r>
      <w:r w:rsidR="00E02E29">
        <w:t>He also</w:t>
      </w:r>
      <w:r w:rsidRPr="00EA4AC0">
        <w:t xml:space="preserve"> </w:t>
      </w:r>
      <w:r w:rsidR="00E02E29">
        <w:t xml:space="preserve">finds that </w:t>
      </w:r>
      <w:r w:rsidRPr="00EA4AC0">
        <w:t>the studies that use the more persuasive randomized experimental design found more positive effects than what the meta analysis found in general. In contrast, the negative effects that were found by studies with non-experimental design</w:t>
      </w:r>
      <w:r w:rsidRPr="00EA4AC0">
        <w:rPr>
          <w:rStyle w:val="FootnoteReference"/>
        </w:rPr>
        <w:footnoteReference w:id="8"/>
      </w:r>
      <w:r w:rsidRPr="00EA4AC0">
        <w:t xml:space="preserve"> may be influenced by unobserved differences between the children and the families who do and do not use child care. Therefore, one can conclude that on balance the research suggests that </w:t>
      </w:r>
      <w:r w:rsidR="00AA7CA4">
        <w:t>ELC</w:t>
      </w:r>
      <w:r w:rsidRPr="00EA4AC0">
        <w:t xml:space="preserve"> provide significant developmental and socio-emotional benefits</w:t>
      </w:r>
      <w:r w:rsidR="00E02E29">
        <w:t xml:space="preserve"> to children</w:t>
      </w:r>
      <w:r w:rsidRPr="00EA4AC0">
        <w:t>.</w:t>
      </w:r>
    </w:p>
    <w:p w:rsidR="00134FC6" w:rsidRDefault="00134FC6" w:rsidP="00134FC6">
      <w:r w:rsidRPr="00EA4AC0">
        <w:t>Most of the literature concerning the impact on mothers of children participating in E</w:t>
      </w:r>
      <w:r>
        <w:t>L</w:t>
      </w:r>
      <w:r w:rsidRPr="00EA4AC0">
        <w:t xml:space="preserve">C tries to estimate the effect of higher child care fees on mothers’ labour supply. </w:t>
      </w:r>
      <w:r w:rsidR="00D816ED">
        <w:t>Mothers' labour supply effect</w:t>
      </w:r>
      <w:r w:rsidR="00CB455E">
        <w:t xml:space="preserve"> will be explored in greater depth in section seven. The impact of accessibility </w:t>
      </w:r>
      <w:r w:rsidRPr="00EA4AC0">
        <w:t xml:space="preserve">is discussed in </w:t>
      </w:r>
      <w:r w:rsidR="00F45B10">
        <w:t>some</w:t>
      </w:r>
      <w:r w:rsidRPr="00EA4AC0">
        <w:t xml:space="preserve"> </w:t>
      </w:r>
      <w:r w:rsidR="0092161A">
        <w:t>research</w:t>
      </w:r>
      <w:r w:rsidRPr="00EA4AC0">
        <w:t>.</w:t>
      </w:r>
      <w:r w:rsidRPr="00EA4AC0">
        <w:rPr>
          <w:rStyle w:val="FootnoteReference"/>
        </w:rPr>
        <w:footnoteReference w:id="9"/>
      </w:r>
      <w:r w:rsidRPr="00EA4AC0">
        <w:t xml:space="preserve"> </w:t>
      </w:r>
      <w:r w:rsidR="0097062C" w:rsidRPr="00EA4AC0">
        <w:t xml:space="preserve">German researchers Kreyenfeld and Hank (1999) and Italian researchers Del Boca and Vuri (2005) argue that availability is more important than affordability in </w:t>
      </w:r>
      <w:smartTag w:uri="urn:schemas-microsoft-com:office:smarttags" w:element="country-region">
        <w:smartTag w:uri="urn:schemas-microsoft-com:office:smarttags" w:element="place">
          <w:r w:rsidR="0097062C" w:rsidRPr="00EA4AC0">
            <w:t>Germany</w:t>
          </w:r>
        </w:smartTag>
      </w:smartTag>
      <w:r w:rsidR="0097062C" w:rsidRPr="00EA4AC0">
        <w:t xml:space="preserve"> and Italy</w:t>
      </w:r>
      <w:r w:rsidR="0097062C">
        <w:t xml:space="preserve"> respectively</w:t>
      </w:r>
      <w:r w:rsidR="0097062C" w:rsidRPr="00EA4AC0">
        <w:t>.</w:t>
      </w:r>
      <w:r w:rsidR="0097062C" w:rsidRPr="00EA4AC0">
        <w:rPr>
          <w:color w:val="000000"/>
        </w:rPr>
        <w:t xml:space="preserve"> </w:t>
      </w:r>
      <w:r w:rsidR="0097062C">
        <w:rPr>
          <w:color w:val="000000"/>
        </w:rPr>
        <w:t xml:space="preserve"> </w:t>
      </w:r>
      <w:r w:rsidR="00CB455E">
        <w:rPr>
          <w:color w:val="000000"/>
        </w:rPr>
        <w:t>Furthermore,</w:t>
      </w:r>
      <w:r w:rsidR="00CB455E" w:rsidRPr="00EA4AC0">
        <w:rPr>
          <w:color w:val="000000"/>
        </w:rPr>
        <w:t xml:space="preserve"> </w:t>
      </w:r>
      <w:r w:rsidR="00CB455E" w:rsidRPr="00EA4AC0">
        <w:t xml:space="preserve">Joshi (1990) finds </w:t>
      </w:r>
      <w:r w:rsidR="00CB455E">
        <w:t xml:space="preserve">that women with young children who do not use ELC experience </w:t>
      </w:r>
      <w:r w:rsidR="00CB455E" w:rsidRPr="00EA4AC0">
        <w:t xml:space="preserve">large </w:t>
      </w:r>
      <w:r w:rsidR="0097062C">
        <w:t xml:space="preserve">wage loses, and these loses persist after they return to the labour market. </w:t>
      </w:r>
    </w:p>
    <w:p w:rsidR="000612EC" w:rsidRDefault="00842E95" w:rsidP="0092161A">
      <w:r>
        <w:t>Economic b</w:t>
      </w:r>
      <w:r w:rsidR="007D7DB0" w:rsidRPr="00EA4AC0">
        <w:t xml:space="preserve">enefits and costs of </w:t>
      </w:r>
      <w:r w:rsidR="007D7DB0">
        <w:t>ELC</w:t>
      </w:r>
      <w:r w:rsidR="007D7DB0" w:rsidRPr="00EA4AC0">
        <w:t xml:space="preserve"> programs can be </w:t>
      </w:r>
      <w:r w:rsidR="007D7DB0">
        <w:t>examined in the long term</w:t>
      </w:r>
      <w:r w:rsidR="00AA7CA4">
        <w:t xml:space="preserve"> or short term</w:t>
      </w:r>
      <w:r w:rsidR="007D7DB0">
        <w:t xml:space="preserve">. </w:t>
      </w:r>
      <w:r w:rsidR="002C3DB1" w:rsidRPr="00EA4AC0">
        <w:t>The literature that estimates long-term benefits</w:t>
      </w:r>
      <w:r w:rsidR="007D7DB0">
        <w:t xml:space="preserve"> and costs</w:t>
      </w:r>
      <w:r w:rsidR="002C3DB1" w:rsidRPr="00EA4AC0">
        <w:t xml:space="preserve"> of </w:t>
      </w:r>
      <w:r w:rsidR="007D7DB0">
        <w:t>ELC</w:t>
      </w:r>
      <w:r w:rsidR="002C3DB1" w:rsidRPr="00EA4AC0">
        <w:t xml:space="preserve"> programs consistently shows that benefits outweigh costs.</w:t>
      </w:r>
      <w:r w:rsidR="002C3DB1" w:rsidRPr="00EA4AC0">
        <w:rPr>
          <w:rStyle w:val="FootnoteReference"/>
        </w:rPr>
        <w:footnoteReference w:id="10"/>
      </w:r>
      <w:r w:rsidR="002C3DB1" w:rsidRPr="00EA4AC0">
        <w:t xml:space="preserve"> </w:t>
      </w:r>
      <w:r w:rsidR="00AA7CA4">
        <w:t>T</w:t>
      </w:r>
      <w:r w:rsidR="000C1350" w:rsidRPr="00EA4AC0">
        <w:t>he magnitude of the benefits</w:t>
      </w:r>
      <w:r w:rsidR="000C1350">
        <w:t xml:space="preserve"> and costs as well as the benefit-cost ratio</w:t>
      </w:r>
      <w:r w:rsidR="000C1350" w:rsidRPr="00EA4AC0">
        <w:t xml:space="preserve"> depends on the characteristics of the children. </w:t>
      </w:r>
      <w:r w:rsidR="00AA7CA4">
        <w:t>D</w:t>
      </w:r>
      <w:r w:rsidR="000C1350" w:rsidRPr="00EA4AC0">
        <w:t>isadvantaged children benefit the most from quality E</w:t>
      </w:r>
      <w:r w:rsidR="000C1350">
        <w:t>L</w:t>
      </w:r>
      <w:r w:rsidR="000C1350" w:rsidRPr="00EA4AC0">
        <w:t xml:space="preserve">C. </w:t>
      </w:r>
      <w:r w:rsidRPr="00EA4AC0">
        <w:t xml:space="preserve">For example, for the </w:t>
      </w:r>
      <w:smartTag w:uri="urn:schemas-microsoft-com:office:smarttags" w:element="country-region">
        <w:smartTag w:uri="urn:schemas-microsoft-com:office:smarttags" w:element="place">
          <w:r w:rsidRPr="00EA4AC0">
            <w:t>U.S.</w:t>
          </w:r>
        </w:smartTag>
      </w:smartTag>
      <w:r w:rsidRPr="00EA4AC0">
        <w:t xml:space="preserve">, the </w:t>
      </w:r>
      <w:smartTag w:uri="urn:schemas-microsoft-com:office:smarttags" w:element="City">
        <w:smartTag w:uri="urn:schemas-microsoft-com:office:smarttags" w:element="place">
          <w:r w:rsidRPr="00EA4AC0">
            <w:t>Chicago</w:t>
          </w:r>
        </w:smartTag>
      </w:smartTag>
      <w:r w:rsidRPr="00EA4AC0">
        <w:t xml:space="preserve"> </w:t>
      </w:r>
      <w:r w:rsidR="002F4FEB">
        <w:t>C</w:t>
      </w:r>
      <w:r w:rsidRPr="00EA4AC0">
        <w:t>hild-</w:t>
      </w:r>
      <w:r w:rsidR="002F4FEB">
        <w:t>P</w:t>
      </w:r>
      <w:r w:rsidRPr="00EA4AC0">
        <w:t xml:space="preserve">arent </w:t>
      </w:r>
      <w:r w:rsidR="002F4FEB">
        <w:t>Cent</w:t>
      </w:r>
      <w:r w:rsidRPr="00EA4AC0">
        <w:t>e</w:t>
      </w:r>
      <w:r w:rsidR="002F4FEB">
        <w:t>r</w:t>
      </w:r>
      <w:r w:rsidRPr="00EA4AC0">
        <w:t xml:space="preserve">s </w:t>
      </w:r>
      <w:r w:rsidR="002F4FEB">
        <w:t>P</w:t>
      </w:r>
      <w:r w:rsidRPr="00EA4AC0">
        <w:t xml:space="preserve">rogram, and the Carolina Abecedarian and High Scope/Perry </w:t>
      </w:r>
      <w:r w:rsidR="002F4FEB">
        <w:t>P</w:t>
      </w:r>
      <w:r w:rsidRPr="00EA4AC0">
        <w:t>rograms show costs being repaid several times over</w:t>
      </w:r>
      <w:r w:rsidR="002F4FEB">
        <w:t xml:space="preserve">, with </w:t>
      </w:r>
      <w:r w:rsidR="00E02E29">
        <w:t xml:space="preserve">the calculated </w:t>
      </w:r>
      <w:r w:rsidR="002F4FEB">
        <w:t xml:space="preserve">benefit-cost ratios </w:t>
      </w:r>
      <w:r w:rsidR="00E02E29">
        <w:t xml:space="preserve">for these programs ranging </w:t>
      </w:r>
      <w:r w:rsidR="002F4FEB">
        <w:t>between 3.8:1 and 7.</w:t>
      </w:r>
      <w:r w:rsidR="00E02E29">
        <w:t>2</w:t>
      </w:r>
      <w:r w:rsidR="002F4FEB">
        <w:t>:1</w:t>
      </w:r>
      <w:r w:rsidRPr="00EA4AC0">
        <w:t>.</w:t>
      </w:r>
      <w:r w:rsidR="002F4FEB">
        <w:rPr>
          <w:rStyle w:val="FootnoteReference"/>
        </w:rPr>
        <w:footnoteReference w:id="11"/>
      </w:r>
      <w:r w:rsidRPr="00EA4AC0">
        <w:t xml:space="preserve"> </w:t>
      </w:r>
      <w:r w:rsidR="00877373">
        <w:t>Notably, these benefits include a reduction in government expenditure as well as increased revenues.</w:t>
      </w:r>
    </w:p>
    <w:p w:rsidR="000C1350" w:rsidRPr="00EA4AC0" w:rsidRDefault="00842E95" w:rsidP="0092161A">
      <w:r w:rsidRPr="00EA4AC0">
        <w:t xml:space="preserve">Other </w:t>
      </w:r>
      <w:r w:rsidR="00E02E29">
        <w:t>types of ELC</w:t>
      </w:r>
      <w:r w:rsidRPr="00EA4AC0">
        <w:t xml:space="preserve"> programs show positive—albeit smaller—net benefits to society per dollar spent.</w:t>
      </w:r>
      <w:r w:rsidR="000612EC">
        <w:t xml:space="preserve"> </w:t>
      </w:r>
      <w:r w:rsidR="00770E07" w:rsidRPr="00EA4AC0">
        <w:t>Kilburn and Karoly (2008) cite an average of 48 pre-school programs that have a benefit/cost ratio of 2.</w:t>
      </w:r>
      <w:r w:rsidR="00770E07">
        <w:t>4</w:t>
      </w:r>
      <w:r w:rsidR="00770E07" w:rsidRPr="00EA4AC0">
        <w:t>.</w:t>
      </w:r>
      <w:r w:rsidR="00770E07">
        <w:t xml:space="preserve"> </w:t>
      </w:r>
      <w:r w:rsidR="000C1350" w:rsidRPr="00802B4F">
        <w:rPr>
          <w:rFonts w:cs="Times New Roman"/>
        </w:rPr>
        <w:t>Karoly and Bigelow (2005)</w:t>
      </w:r>
      <w:r w:rsidR="000C1350">
        <w:rPr>
          <w:rFonts w:cs="Times New Roman"/>
        </w:rPr>
        <w:t xml:space="preserve"> estimate that a universal </w:t>
      </w:r>
      <w:r w:rsidR="00E02E29">
        <w:rPr>
          <w:rFonts w:cs="Times New Roman"/>
        </w:rPr>
        <w:t>ELC</w:t>
      </w:r>
      <w:r w:rsidR="000C1350">
        <w:rPr>
          <w:rFonts w:cs="Times New Roman"/>
        </w:rPr>
        <w:t xml:space="preserve"> program in </w:t>
      </w:r>
      <w:smartTag w:uri="urn:schemas-microsoft-com:office:smarttags" w:element="State">
        <w:smartTag w:uri="urn:schemas-microsoft-com:office:smarttags" w:element="place">
          <w:r w:rsidR="000C1350">
            <w:rPr>
              <w:rFonts w:cs="Times New Roman"/>
            </w:rPr>
            <w:t>California</w:t>
          </w:r>
        </w:smartTag>
      </w:smartTag>
      <w:r w:rsidR="000C1350">
        <w:rPr>
          <w:rFonts w:cs="Times New Roman"/>
        </w:rPr>
        <w:t xml:space="preserve"> would yield benefits of $2-$4 for every $1 invested</w:t>
      </w:r>
      <w:r w:rsidR="0092161A" w:rsidRPr="00EA4AC0">
        <w:t xml:space="preserve"> (depending on the assumptions)</w:t>
      </w:r>
      <w:r w:rsidR="000C1350">
        <w:rPr>
          <w:rFonts w:cs="Times New Roman"/>
        </w:rPr>
        <w:t xml:space="preserve">. </w:t>
      </w:r>
      <w:r w:rsidR="000C1350" w:rsidRPr="00802B4F">
        <w:rPr>
          <w:rFonts w:cs="Times New Roman"/>
        </w:rPr>
        <w:t>Belfield (2005)</w:t>
      </w:r>
      <w:r w:rsidR="000C1350" w:rsidRPr="00802B4F">
        <w:t xml:space="preserve"> </w:t>
      </w:r>
      <w:r w:rsidR="000C1350">
        <w:t>estimate</w:t>
      </w:r>
      <w:r w:rsidR="00770E07">
        <w:t>s</w:t>
      </w:r>
      <w:r w:rsidR="000C1350">
        <w:t xml:space="preserve"> that every $1 invested provides future benefits worth $2.</w:t>
      </w:r>
      <w:r w:rsidR="00770E07">
        <w:t>3</w:t>
      </w:r>
      <w:r w:rsidR="000C1350">
        <w:t xml:space="preserve"> for the Louisiana E</w:t>
      </w:r>
      <w:r w:rsidR="000612EC">
        <w:t>L</w:t>
      </w:r>
      <w:r w:rsidR="000C1350">
        <w:t xml:space="preserve">C system. </w:t>
      </w:r>
      <w:r w:rsidR="000C1350" w:rsidRPr="00EA4AC0">
        <w:t xml:space="preserve">Chevalier et al. (2006) estimate that a universal program in </w:t>
      </w:r>
      <w:smartTag w:uri="urn:schemas-microsoft-com:office:smarttags" w:element="country-region">
        <w:smartTag w:uri="urn:schemas-microsoft-com:office:smarttags" w:element="place">
          <w:r w:rsidR="000C1350" w:rsidRPr="00EA4AC0">
            <w:t>Ireland</w:t>
          </w:r>
        </w:smartTag>
      </w:smartTag>
      <w:r w:rsidR="000C1350" w:rsidRPr="00EA4AC0">
        <w:t xml:space="preserve"> will yield an astonishing $4.6-$7.1 in benefits (depending on the assumptions) for each dollar of cost. </w:t>
      </w:r>
    </w:p>
    <w:p w:rsidR="0092161A" w:rsidRDefault="000612EC" w:rsidP="000C1350">
      <w:r>
        <w:t>For</w:t>
      </w:r>
      <w:r w:rsidR="000C1350" w:rsidRPr="00EA4AC0">
        <w:t xml:space="preserve"> </w:t>
      </w:r>
      <w:smartTag w:uri="urn:schemas-microsoft-com:office:smarttags" w:element="country-region">
        <w:smartTag w:uri="urn:schemas-microsoft-com:office:smarttags" w:element="place">
          <w:r w:rsidR="000C1350" w:rsidRPr="00EA4AC0">
            <w:t>Canada</w:t>
          </w:r>
        </w:smartTag>
      </w:smartTag>
      <w:r w:rsidR="000C1350" w:rsidRPr="00EA4AC0">
        <w:t xml:space="preserve">, </w:t>
      </w:r>
      <w:smartTag w:uri="urn:schemas-microsoft-com:office:smarttags" w:element="City">
        <w:smartTag w:uri="urn:schemas-microsoft-com:office:smarttags" w:element="place">
          <w:r w:rsidR="000C1350" w:rsidRPr="00EA4AC0">
            <w:t>Cleveland</w:t>
          </w:r>
        </w:smartTag>
      </w:smartTag>
      <w:r w:rsidR="000C1350" w:rsidRPr="00EA4AC0">
        <w:t xml:space="preserve"> and Krashinsky (1998) estimate that a universal high-quality </w:t>
      </w:r>
      <w:r w:rsidR="00E02E29">
        <w:t>ELC</w:t>
      </w:r>
      <w:r w:rsidR="000C1350" w:rsidRPr="00EA4AC0">
        <w:t xml:space="preserve"> program will return more than $2 for every dollar invested. </w:t>
      </w:r>
      <w:r>
        <w:t>Fairholm (2009) found that the net present value of benefits exceed costs by a factor of 2.5:1. And Fairholm and Davis (2010) found that for Ontario the introduction of the proposals recommended by Dr. Pascal (2009)</w:t>
      </w:r>
      <w:r w:rsidR="008274DC">
        <w:t xml:space="preserve"> </w:t>
      </w:r>
      <w:r>
        <w:t xml:space="preserve">would provide a benefit-cost ratio of </w:t>
      </w:r>
      <w:r w:rsidR="00860DA0">
        <w:t>2</w:t>
      </w:r>
      <w:r w:rsidR="00770E07">
        <w:t>.0</w:t>
      </w:r>
      <w:r>
        <w:t xml:space="preserve">:1 </w:t>
      </w:r>
      <w:r w:rsidR="00860DA0">
        <w:t>for ongoing operations</w:t>
      </w:r>
      <w:r w:rsidR="008274DC">
        <w:t>. Notably, these recommendations</w:t>
      </w:r>
      <w:r w:rsidR="00860DA0">
        <w:t xml:space="preserve"> </w:t>
      </w:r>
      <w:r w:rsidR="008274DC">
        <w:t xml:space="preserve">included a increase in labour income for qualified </w:t>
      </w:r>
      <w:r>
        <w:t xml:space="preserve">early childhood educators </w:t>
      </w:r>
      <w:r w:rsidR="008274DC">
        <w:t xml:space="preserve">from roughly $31,800 to </w:t>
      </w:r>
      <w:r>
        <w:t>$</w:t>
      </w:r>
      <w:r w:rsidR="008274DC">
        <w:t>58</w:t>
      </w:r>
      <w:r>
        <w:t>,</w:t>
      </w:r>
      <w:r w:rsidR="008274DC">
        <w:t>3</w:t>
      </w:r>
      <w:r>
        <w:t xml:space="preserve">00 per annum. </w:t>
      </w:r>
    </w:p>
    <w:p w:rsidR="008F2188" w:rsidRPr="00BA46C3" w:rsidRDefault="00494567" w:rsidP="00C7027E">
      <w:pPr>
        <w:pStyle w:val="Heading2"/>
        <w:spacing w:before="240"/>
      </w:pPr>
      <w:bookmarkStart w:id="9" w:name="_Toc204739212"/>
      <w:bookmarkStart w:id="10" w:name="_Toc283303666"/>
      <w:r>
        <w:lastRenderedPageBreak/>
        <w:t>3</w:t>
      </w:r>
      <w:r w:rsidR="00C60E8D" w:rsidRPr="00BA46C3">
        <w:t xml:space="preserve">. Economic </w:t>
      </w:r>
      <w:bookmarkEnd w:id="9"/>
      <w:r w:rsidR="00577F4B">
        <w:t>Impact Estimates and Multipliers</w:t>
      </w:r>
      <w:bookmarkEnd w:id="10"/>
    </w:p>
    <w:p w:rsidR="00A149CC" w:rsidRDefault="008B4730" w:rsidP="00363C97">
      <w:pPr>
        <w:jc w:val="both"/>
      </w:pPr>
      <w:r>
        <w:t xml:space="preserve">This report </w:t>
      </w:r>
      <w:r w:rsidRPr="0010633B">
        <w:t xml:space="preserve">examines the </w:t>
      </w:r>
      <w:r w:rsidR="00AA1D3F">
        <w:t xml:space="preserve">short-term </w:t>
      </w:r>
      <w:r w:rsidRPr="0010633B">
        <w:t xml:space="preserve">economic </w:t>
      </w:r>
      <w:r w:rsidR="00880960">
        <w:t>impac</w:t>
      </w:r>
      <w:r>
        <w:t>t</w:t>
      </w:r>
      <w:r w:rsidRPr="0010633B">
        <w:t xml:space="preserve"> </w:t>
      </w:r>
      <w:r w:rsidR="00AA1D3F">
        <w:t>caused by</w:t>
      </w:r>
      <w:r w:rsidRPr="0010633B">
        <w:t xml:space="preserve"> </w:t>
      </w:r>
      <w:r>
        <w:t xml:space="preserve">an increase in ELC </w:t>
      </w:r>
      <w:r w:rsidR="00A015DF">
        <w:t xml:space="preserve">activity </w:t>
      </w:r>
      <w:r>
        <w:t xml:space="preserve">in Nova Scotia. The basic method to </w:t>
      </w:r>
      <w:r w:rsidR="00DB48F0">
        <w:t>assess</w:t>
      </w:r>
      <w:r>
        <w:t xml:space="preserve"> the economic impact relies on </w:t>
      </w:r>
      <w:r w:rsidR="00A149CC">
        <w:t>estimates</w:t>
      </w:r>
      <w:r>
        <w:t xml:space="preserve"> from Statistics Canada’s Input-Output (IO) model. </w:t>
      </w:r>
      <w:r w:rsidR="00A149CC">
        <w:t>This is a</w:t>
      </w:r>
      <w:r w:rsidR="00DB48F0">
        <w:t xml:space="preserve"> common approach to illustrate</w:t>
      </w:r>
      <w:r w:rsidR="00A149CC">
        <w:t xml:space="preserve"> the economic impact from </w:t>
      </w:r>
      <w:r w:rsidR="00A015DF">
        <w:t xml:space="preserve">an increase in </w:t>
      </w:r>
      <w:r w:rsidR="00A149CC">
        <w:t xml:space="preserve">spending </w:t>
      </w:r>
      <w:r w:rsidR="00A015DF">
        <w:t xml:space="preserve">or output </w:t>
      </w:r>
      <w:r w:rsidR="00A149CC">
        <w:t xml:space="preserve">in a </w:t>
      </w:r>
      <w:r w:rsidR="00880960">
        <w:t>given</w:t>
      </w:r>
      <w:r w:rsidR="00A149CC">
        <w:t xml:space="preserve"> sector. </w:t>
      </w:r>
    </w:p>
    <w:p w:rsidR="008B4730" w:rsidRDefault="008B4730" w:rsidP="00363C97">
      <w:pPr>
        <w:jc w:val="both"/>
      </w:pPr>
      <w:r>
        <w:t>Statistics Canada’s provincial input-output (IO) simulation model can estimate the short-term economic impact from changes in output o</w:t>
      </w:r>
      <w:r w:rsidR="00DB48F0">
        <w:t>r expenditure for any industry</w:t>
      </w:r>
      <w:r>
        <w:t xml:space="preserve"> or </w:t>
      </w:r>
      <w:r w:rsidR="00A149CC">
        <w:t>product (goods or services)</w:t>
      </w:r>
      <w:r>
        <w:t xml:space="preserve">. </w:t>
      </w:r>
      <w:r w:rsidR="00434FF5">
        <w:t>All products and services are categorized by Statistics Canada</w:t>
      </w:r>
      <w:r w:rsidR="00DB48F0">
        <w:t>.</w:t>
      </w:r>
      <w:r w:rsidR="00A149CC">
        <w:t xml:space="preserve"> </w:t>
      </w:r>
      <w:r w:rsidR="00DB48F0">
        <w:t>I</w:t>
      </w:r>
      <w:r w:rsidR="00A149CC">
        <w:t xml:space="preserve">n the </w:t>
      </w:r>
      <w:r w:rsidR="00373370">
        <w:t>IO</w:t>
      </w:r>
      <w:r w:rsidR="00A149CC">
        <w:t xml:space="preserve"> model the relevant service representing ELC is “Child Care, Outside the Home”.</w:t>
      </w:r>
      <w:r w:rsidR="00434FF5">
        <w:t xml:space="preserve"> </w:t>
      </w:r>
      <w:r w:rsidR="00A149CC">
        <w:t xml:space="preserve">In the </w:t>
      </w:r>
      <w:r w:rsidR="00DB48F0">
        <w:t>IO</w:t>
      </w:r>
      <w:r w:rsidR="00A149CC">
        <w:t xml:space="preserve"> model all products and services are represented </w:t>
      </w:r>
      <w:r w:rsidR="00434FF5">
        <w:t xml:space="preserve">as being produced by a given industry or industries. The </w:t>
      </w:r>
      <w:r w:rsidR="00111519">
        <w:t xml:space="preserve">principal </w:t>
      </w:r>
      <w:r w:rsidR="00434FF5">
        <w:t xml:space="preserve">industry that “produces” </w:t>
      </w:r>
      <w:r w:rsidR="00AA1D3F">
        <w:t>ELC</w:t>
      </w:r>
      <w:r w:rsidR="00434FF5">
        <w:t xml:space="preserve"> i</w:t>
      </w:r>
      <w:r w:rsidR="00111519">
        <w:t>n</w:t>
      </w:r>
      <w:r w:rsidR="00434FF5">
        <w:t xml:space="preserve"> the North American Industry Classification </w:t>
      </w:r>
      <w:r w:rsidR="00111519">
        <w:t xml:space="preserve">System </w:t>
      </w:r>
      <w:r w:rsidR="00434FF5">
        <w:t xml:space="preserve">(NAICS) </w:t>
      </w:r>
      <w:r w:rsidR="00111519">
        <w:t xml:space="preserve">is </w:t>
      </w:r>
      <w:r w:rsidR="00434FF5" w:rsidRPr="00EA4AC0">
        <w:t>“Child day-care services”</w:t>
      </w:r>
      <w:r w:rsidR="00111519">
        <w:t xml:space="preserve"> (NAICS 6244)</w:t>
      </w:r>
      <w:r w:rsidR="00434FF5">
        <w:t>.</w:t>
      </w:r>
      <w:r w:rsidR="00111519">
        <w:t xml:space="preserve"> This means that an analysis of the short-term economic effects of an investment </w:t>
      </w:r>
      <w:r>
        <w:t>in</w:t>
      </w:r>
      <w:r w:rsidR="00111519">
        <w:t xml:space="preserve"> ELC can use inform</w:t>
      </w:r>
      <w:r w:rsidR="00DB48F0">
        <w:t>ation for the above service and/or</w:t>
      </w:r>
      <w:r w:rsidR="00111519">
        <w:t xml:space="preserve"> industry. </w:t>
      </w:r>
    </w:p>
    <w:p w:rsidR="00363C97" w:rsidRDefault="00363C97" w:rsidP="00363C97">
      <w:pPr>
        <w:jc w:val="both"/>
      </w:pPr>
      <w:r w:rsidRPr="0010633B">
        <w:t xml:space="preserve">When </w:t>
      </w:r>
      <w:r>
        <w:t xml:space="preserve">there is an increase in expenditure for a particular product or service </w:t>
      </w:r>
      <w:r w:rsidRPr="0010633B">
        <w:t xml:space="preserve">there are several economic </w:t>
      </w:r>
      <w:r>
        <w:t>effect</w:t>
      </w:r>
      <w:r w:rsidRPr="0010633B">
        <w:t xml:space="preserve">s to consider. There is a direct </w:t>
      </w:r>
      <w:r>
        <w:t>effect</w:t>
      </w:r>
      <w:r w:rsidRPr="0010633B">
        <w:t xml:space="preserve"> on the i</w:t>
      </w:r>
      <w:r>
        <w:t>ndustry that originally produces</w:t>
      </w:r>
      <w:r w:rsidR="00DB48F0">
        <w:t xml:space="preserve"> the good</w:t>
      </w:r>
      <w:r w:rsidRPr="0010633B">
        <w:t xml:space="preserve"> </w:t>
      </w:r>
      <w:r w:rsidR="00DB48F0">
        <w:t>or service</w:t>
      </w:r>
      <w:r w:rsidRPr="0010633B">
        <w:t>. Th</w:t>
      </w:r>
      <w:r>
        <w:t>is</w:t>
      </w:r>
      <w:r w:rsidRPr="0010633B">
        <w:t xml:space="preserve"> </w:t>
      </w:r>
      <w:r>
        <w:t>outcome</w:t>
      </w:r>
      <w:r w:rsidRPr="0010633B">
        <w:t xml:space="preserve"> can be thought to be the </w:t>
      </w:r>
      <w:r w:rsidRPr="00924D69">
        <w:rPr>
          <w:i/>
        </w:rPr>
        <w:t xml:space="preserve">direct </w:t>
      </w:r>
      <w:r>
        <w:rPr>
          <w:i/>
        </w:rPr>
        <w:t>effect</w:t>
      </w:r>
      <w:r w:rsidRPr="0010633B">
        <w:t xml:space="preserve"> on the economy from an increase in </w:t>
      </w:r>
      <w:r>
        <w:t>expenditure</w:t>
      </w:r>
      <w:r w:rsidRPr="0010633B">
        <w:t xml:space="preserve">. The economic </w:t>
      </w:r>
      <w:r>
        <w:t>effects, however, do</w:t>
      </w:r>
      <w:r w:rsidRPr="0010633B">
        <w:t xml:space="preserve"> not stop there. </w:t>
      </w:r>
    </w:p>
    <w:p w:rsidR="003E36E7" w:rsidRDefault="00363C97" w:rsidP="00363C97">
      <w:pPr>
        <w:jc w:val="both"/>
      </w:pPr>
      <w:r w:rsidRPr="0010633B">
        <w:t>When an industry increases production, they must increase their use of the goods and services that are use</w:t>
      </w:r>
      <w:r>
        <w:t>d</w:t>
      </w:r>
      <w:r w:rsidRPr="0010633B">
        <w:t xml:space="preserve"> in their production processes. All of the original industry’s suppliers will increase their sales and production because of the increase in demand. This in turn results in further production increases elsewhere in the economy. This effect cascades throughout the economy as the suppliers of the original </w:t>
      </w:r>
      <w:r>
        <w:t>suppliers</w:t>
      </w:r>
      <w:r w:rsidRPr="0010633B">
        <w:t xml:space="preserve"> increase their production, etcetera. The full </w:t>
      </w:r>
      <w:r>
        <w:t>effect</w:t>
      </w:r>
      <w:r w:rsidRPr="0010633B">
        <w:t xml:space="preserve"> of all these rounds of production increases can be thought to be the </w:t>
      </w:r>
      <w:r w:rsidRPr="00482736">
        <w:rPr>
          <w:i/>
        </w:rPr>
        <w:t>indirect effect</w:t>
      </w:r>
      <w:r w:rsidRPr="0010633B">
        <w:t xml:space="preserve"> on the economy from </w:t>
      </w:r>
      <w:r w:rsidR="00880960">
        <w:t>the original</w:t>
      </w:r>
      <w:r w:rsidRPr="0010633B">
        <w:t xml:space="preserve"> increase in </w:t>
      </w:r>
      <w:r>
        <w:t>expenditure</w:t>
      </w:r>
      <w:r w:rsidR="00880960">
        <w:t xml:space="preserve"> or production</w:t>
      </w:r>
      <w:r w:rsidRPr="0010633B">
        <w:t xml:space="preserve">. </w:t>
      </w:r>
      <w:r w:rsidR="003E36E7">
        <w:t xml:space="preserve">Generally, the higher the import content of products and services </w:t>
      </w:r>
      <w:r w:rsidR="00AA1D3F">
        <w:t>used</w:t>
      </w:r>
      <w:r w:rsidR="00C216CB">
        <w:t>,</w:t>
      </w:r>
      <w:r w:rsidR="00AA1D3F">
        <w:t xml:space="preserve"> </w:t>
      </w:r>
      <w:r w:rsidR="003E36E7">
        <w:t>the lower the multiplier because the spending “leaks” out of the economy.</w:t>
      </w:r>
    </w:p>
    <w:p w:rsidR="00363C97" w:rsidRDefault="00880960" w:rsidP="00363C97">
      <w:pPr>
        <w:jc w:val="both"/>
      </w:pPr>
      <w:r>
        <w:t>The</w:t>
      </w:r>
      <w:r w:rsidR="00363C97" w:rsidRPr="0010633B">
        <w:t xml:space="preserve"> </w:t>
      </w:r>
      <w:r>
        <w:t xml:space="preserve">direct and indirect </w:t>
      </w:r>
      <w:r w:rsidR="00363C97" w:rsidRPr="0010633B">
        <w:t>increase</w:t>
      </w:r>
      <w:r w:rsidR="00363C97">
        <w:t>s</w:t>
      </w:r>
      <w:r w:rsidR="00363C97" w:rsidRPr="0010633B">
        <w:t xml:space="preserve"> in production will lead to a</w:t>
      </w:r>
      <w:r>
        <w:t xml:space="preserve"> ris</w:t>
      </w:r>
      <w:r w:rsidR="004E2F78">
        <w:t xml:space="preserve">e in employment and </w:t>
      </w:r>
      <w:r w:rsidR="00363C97" w:rsidRPr="0010633B">
        <w:t xml:space="preserve">labour income. </w:t>
      </w:r>
      <w:r w:rsidR="003E36E7">
        <w:t xml:space="preserve">Part of the </w:t>
      </w:r>
      <w:r>
        <w:t>rise</w:t>
      </w:r>
      <w:r w:rsidR="003E36E7">
        <w:t xml:space="preserve"> in income will “leak” out via taxes</w:t>
      </w:r>
      <w:r w:rsidR="00D37B59">
        <w:t xml:space="preserve"> and savings</w:t>
      </w:r>
      <w:r w:rsidR="003E36E7">
        <w:t xml:space="preserve">. </w:t>
      </w:r>
      <w:r w:rsidR="00363C97" w:rsidRPr="0010633B">
        <w:t xml:space="preserve">If households spend </w:t>
      </w:r>
      <w:r w:rsidR="00D37B59">
        <w:t xml:space="preserve">some of </w:t>
      </w:r>
      <w:r w:rsidR="00363C97" w:rsidRPr="0010633B">
        <w:t>the</w:t>
      </w:r>
      <w:r w:rsidR="00D37B59">
        <w:t>ir increase in after-tax income</w:t>
      </w:r>
      <w:r w:rsidR="00363C97" w:rsidRPr="0010633B">
        <w:t xml:space="preserve">, there </w:t>
      </w:r>
      <w:r w:rsidR="00363C97">
        <w:t>will be an increase in demand for</w:t>
      </w:r>
      <w:r w:rsidR="00363C97" w:rsidRPr="0010633B">
        <w:t xml:space="preserve"> the products they purchase, which will lead to higher production or imports. These changes will also cause further economic effects similar to the cascading effect described above. The </w:t>
      </w:r>
      <w:r w:rsidR="00363C97">
        <w:t>effect</w:t>
      </w:r>
      <w:r w:rsidR="00363C97" w:rsidRPr="0010633B">
        <w:t xml:space="preserve"> on the economy from higher employment and income is called the </w:t>
      </w:r>
      <w:r w:rsidR="00363C97" w:rsidRPr="00482736">
        <w:rPr>
          <w:i/>
        </w:rPr>
        <w:t>induced effect</w:t>
      </w:r>
      <w:r w:rsidR="00363C97" w:rsidRPr="0010633B">
        <w:t xml:space="preserve">. </w:t>
      </w:r>
    </w:p>
    <w:p w:rsidR="004E2F78" w:rsidRDefault="00FF4D43" w:rsidP="003E36E7">
      <w:pPr>
        <w:jc w:val="both"/>
      </w:pPr>
      <w:r>
        <w:t>Typical</w:t>
      </w:r>
      <w:r w:rsidR="00994CFB">
        <w:t>ly</w:t>
      </w:r>
      <w:r w:rsidR="00DB48F0">
        <w:t xml:space="preserve"> </w:t>
      </w:r>
      <w:r w:rsidR="009C648C">
        <w:t>multipliers</w:t>
      </w:r>
      <w:r>
        <w:t xml:space="preserve"> </w:t>
      </w:r>
      <w:r w:rsidR="00AF7C72">
        <w:t xml:space="preserve">are used </w:t>
      </w:r>
      <w:r>
        <w:t xml:space="preserve">to illustrate the </w:t>
      </w:r>
      <w:r w:rsidR="00AF7C72">
        <w:t>magnitude of these</w:t>
      </w:r>
      <w:r>
        <w:t xml:space="preserve"> economic effect</w:t>
      </w:r>
      <w:r w:rsidR="00AF7C72">
        <w:t>s</w:t>
      </w:r>
      <w:r w:rsidR="009C648C">
        <w:t xml:space="preserve">. </w:t>
      </w:r>
      <w:r w:rsidR="00B20797">
        <w:t xml:space="preserve">There a several types of multipliers. </w:t>
      </w:r>
      <w:r w:rsidR="00994CFB">
        <w:t>Type I m</w:t>
      </w:r>
      <w:r w:rsidR="003E36E7">
        <w:t>ultipliers combine the direct and indirect effect</w:t>
      </w:r>
      <w:r w:rsidR="00994CFB">
        <w:t>s</w:t>
      </w:r>
      <w:r w:rsidR="003E36E7">
        <w:t xml:space="preserve">. Multipliers that combined direct, indirect and induced effects are called Type II multipliers. </w:t>
      </w:r>
    </w:p>
    <w:p w:rsidR="006D4CEE" w:rsidRPr="00EA4AC0" w:rsidRDefault="003E36E7" w:rsidP="006D4CEE">
      <w:r>
        <w:t xml:space="preserve">Multipliers are also used to measure different aspects of the impact. There are </w:t>
      </w:r>
      <w:r w:rsidR="006D4CEE">
        <w:t>g</w:t>
      </w:r>
      <w:r>
        <w:t xml:space="preserve">ross </w:t>
      </w:r>
      <w:r w:rsidR="006D4CEE">
        <w:t>o</w:t>
      </w:r>
      <w:r>
        <w:t>utput</w:t>
      </w:r>
      <w:r w:rsidR="002D31C1">
        <w:t>,</w:t>
      </w:r>
      <w:r w:rsidR="002D31C1" w:rsidRPr="002D31C1">
        <w:t xml:space="preserve"> </w:t>
      </w:r>
      <w:r w:rsidR="002D31C1">
        <w:t>GDP</w:t>
      </w:r>
      <w:r>
        <w:t xml:space="preserve"> and employment multipliers.</w:t>
      </w:r>
      <w:r w:rsidR="004E2F78">
        <w:t xml:space="preserve"> </w:t>
      </w:r>
      <w:r w:rsidR="006D4CEE">
        <w:t>The g</w:t>
      </w:r>
      <w:r w:rsidR="006D4CEE" w:rsidRPr="00EA4AC0">
        <w:t>ro</w:t>
      </w:r>
      <w:r w:rsidR="006D4CEE">
        <w:t>ss output or revenue multiplier</w:t>
      </w:r>
      <w:r w:rsidR="006D4CEE" w:rsidRPr="00EA4AC0">
        <w:t xml:space="preserve"> </w:t>
      </w:r>
      <w:r w:rsidR="006D4CEE">
        <w:t>for an</w:t>
      </w:r>
      <w:r w:rsidR="006D4CEE" w:rsidRPr="00EA4AC0">
        <w:t xml:space="preserve"> industry is “the total value of production in all sectors of the economy that is necessary in order to satisfy a dollar’s worth of final demand” for that industry’s output. Technically, the multiplier is the ratio of all these inputs relative to the initia</w:t>
      </w:r>
      <w:r w:rsidR="00EB2057">
        <w:t>l rise of output in an industry</w:t>
      </w:r>
      <w:r w:rsidR="006D4CEE" w:rsidRPr="00EA4AC0">
        <w:t>.</w:t>
      </w:r>
      <w:r w:rsidR="006D4CEE" w:rsidRPr="00EA4AC0">
        <w:rPr>
          <w:rStyle w:val="FootnoteReference"/>
        </w:rPr>
        <w:t xml:space="preserve"> </w:t>
      </w:r>
      <w:r w:rsidR="006D4CEE" w:rsidRPr="00EA4AC0">
        <w:rPr>
          <w:rStyle w:val="FootnoteReference"/>
        </w:rPr>
        <w:footnoteReference w:id="12"/>
      </w:r>
    </w:p>
    <w:p w:rsidR="0070117F" w:rsidRDefault="006D4CEE" w:rsidP="006D4CEE">
      <w:pPr>
        <w:spacing w:before="120"/>
      </w:pPr>
      <w:r w:rsidRPr="00EA4AC0">
        <w:t xml:space="preserve">As Cross and Ghanem (2006) indicate, industries with more linkages to other sectors will have higher gross output multipliers. </w:t>
      </w:r>
      <w:r w:rsidR="00EB2057">
        <w:t>T</w:t>
      </w:r>
      <w:r w:rsidRPr="00EA4AC0">
        <w:t xml:space="preserve">his does not mean that these industries are more important to economic growth. </w:t>
      </w:r>
      <w:r>
        <w:t>G</w:t>
      </w:r>
      <w:r w:rsidRPr="00EA4AC0">
        <w:t>ross output multipliers exaggerate the importance of industries with complex contractual and production relationships and do not net out intermediate purchases, so there can be double counting when using these multipliers to show the importance of an industry for overall economic activity or growth.</w:t>
      </w:r>
      <w:r w:rsidR="0070117F" w:rsidRPr="0070117F">
        <w:t xml:space="preserve"> </w:t>
      </w:r>
      <w:r w:rsidR="0070117F" w:rsidRPr="00EA4AC0">
        <w:t xml:space="preserve">Therefore, using a gross output multiplier as an indication of the economic benefits of an industry can be misleading. </w:t>
      </w:r>
    </w:p>
    <w:p w:rsidR="002D31C1" w:rsidRDefault="0070117F" w:rsidP="0070117F">
      <w:pPr>
        <w:spacing w:before="120"/>
      </w:pPr>
      <w:r w:rsidRPr="00EA4AC0">
        <w:lastRenderedPageBreak/>
        <w:t xml:space="preserve">GDP multipliers provide a more accurate picture of the economic impact from an increase in spending or production on overall </w:t>
      </w:r>
      <w:r w:rsidR="00880960">
        <w:t xml:space="preserve">economic </w:t>
      </w:r>
      <w:r w:rsidRPr="00EA4AC0">
        <w:t>growth.</w:t>
      </w:r>
      <w:r>
        <w:t xml:space="preserve"> </w:t>
      </w:r>
      <w:r w:rsidR="006D4CEE" w:rsidRPr="00EA4AC0">
        <w:t xml:space="preserve">The results for these multipliers can be dramatically different than for gross output multipliers. The values for </w:t>
      </w:r>
      <w:r>
        <w:t>GDP</w:t>
      </w:r>
      <w:r w:rsidR="006D4CEE" w:rsidRPr="00EA4AC0">
        <w:t xml:space="preserve"> multipliers are considerably smaller than revenue multipliers, because they net out intermediate inputs and capture production done in the firm. For example, manufacturing has one of the highest revenue multipliers (reflecting how it has outsourced production to other industries), but its multiplier for creating GDP in Canada ranks last among the major industry groups.</w:t>
      </w:r>
      <w:r w:rsidR="006D4CEE" w:rsidRPr="00EA4AC0">
        <w:rPr>
          <w:rStyle w:val="FootnoteReference"/>
        </w:rPr>
        <w:footnoteReference w:id="13"/>
      </w:r>
      <w:r w:rsidR="006D4CEE" w:rsidRPr="00EA4AC0">
        <w:t xml:space="preserve"> </w:t>
      </w:r>
      <w:r w:rsidR="00EB2057">
        <w:t>The most relevant multipliers for the current study are the GDP and employment multipliers.</w:t>
      </w:r>
    </w:p>
    <w:p w:rsidR="00AA1D3F" w:rsidRDefault="00FF4D43" w:rsidP="002D31C1">
      <w:r>
        <w:t>GDP m</w:t>
      </w:r>
      <w:r w:rsidR="00DA3E1D" w:rsidRPr="00DA3E1D">
        <w:rPr>
          <w:szCs w:val="22"/>
        </w:rPr>
        <w:t xml:space="preserve">ultipliers </w:t>
      </w:r>
      <w:r w:rsidR="00D348D2">
        <w:rPr>
          <w:szCs w:val="22"/>
        </w:rPr>
        <w:t xml:space="preserve">can </w:t>
      </w:r>
      <w:r w:rsidR="00DA3E1D" w:rsidRPr="00DA3E1D">
        <w:rPr>
          <w:szCs w:val="22"/>
        </w:rPr>
        <w:t xml:space="preserve">measure the </w:t>
      </w:r>
      <w:r w:rsidR="009C648C">
        <w:rPr>
          <w:szCs w:val="22"/>
        </w:rPr>
        <w:t xml:space="preserve">increase in </w:t>
      </w:r>
      <w:r w:rsidR="00994CFB">
        <w:rPr>
          <w:szCs w:val="22"/>
        </w:rPr>
        <w:t>the</w:t>
      </w:r>
      <w:r>
        <w:rPr>
          <w:szCs w:val="22"/>
        </w:rPr>
        <w:t xml:space="preserve"> econ</w:t>
      </w:r>
      <w:r w:rsidR="00994CFB">
        <w:rPr>
          <w:szCs w:val="22"/>
        </w:rPr>
        <w:t>omy</w:t>
      </w:r>
      <w:r>
        <w:rPr>
          <w:szCs w:val="22"/>
        </w:rPr>
        <w:t xml:space="preserve"> caused by a dollar increase in output or expenditure for a specific industry, </w:t>
      </w:r>
      <w:r w:rsidR="00746A85">
        <w:rPr>
          <w:szCs w:val="22"/>
        </w:rPr>
        <w:t xml:space="preserve">good/service, </w:t>
      </w:r>
      <w:r>
        <w:rPr>
          <w:szCs w:val="22"/>
        </w:rPr>
        <w:t>project or program</w:t>
      </w:r>
      <w:r w:rsidR="00DA3E1D" w:rsidRPr="00DA3E1D">
        <w:rPr>
          <w:szCs w:val="22"/>
        </w:rPr>
        <w:t xml:space="preserve">. </w:t>
      </w:r>
      <w:r w:rsidR="00CC571B">
        <w:t xml:space="preserve">For example, a multiplier of two means that two dollars </w:t>
      </w:r>
      <w:r w:rsidR="002D275B">
        <w:t>of GDP</w:t>
      </w:r>
      <w:r w:rsidR="006E208C">
        <w:t xml:space="preserve"> are generated per dollar of program</w:t>
      </w:r>
      <w:r w:rsidR="00747E8D">
        <w:t xml:space="preserve"> costs</w:t>
      </w:r>
      <w:r w:rsidR="00CC571B">
        <w:t xml:space="preserve">. </w:t>
      </w:r>
      <w:r w:rsidR="00AA1D3F">
        <w:t>GDP</w:t>
      </w:r>
      <w:r w:rsidR="00AA1D3F" w:rsidRPr="00BA46C3">
        <w:t xml:space="preserve"> multipliers </w:t>
      </w:r>
      <w:r w:rsidR="00AA1D3F">
        <w:t xml:space="preserve">for the ELC sector </w:t>
      </w:r>
      <w:r w:rsidR="00AA1D3F" w:rsidRPr="00BA46C3">
        <w:t xml:space="preserve">are </w:t>
      </w:r>
      <w:r w:rsidR="00AA1D3F">
        <w:t>generally estimated to be larger</w:t>
      </w:r>
      <w:r w:rsidR="00AA1D3F" w:rsidRPr="00BA46C3">
        <w:t xml:space="preserve"> than </w:t>
      </w:r>
      <w:r w:rsidR="00AA1D3F">
        <w:t>those</w:t>
      </w:r>
      <w:r w:rsidR="00AA1D3F" w:rsidRPr="00BA46C3">
        <w:t xml:space="preserve"> for other key sectors</w:t>
      </w:r>
      <w:r w:rsidR="00AA1D3F">
        <w:t>, many government programs and larger than the short-term impact from increased taxes</w:t>
      </w:r>
      <w:r w:rsidR="00AA1D3F" w:rsidRPr="00BA46C3">
        <w:t>.</w:t>
      </w:r>
      <w:r w:rsidR="00AA1D3F">
        <w:t xml:space="preserve"> </w:t>
      </w:r>
      <w:r w:rsidR="00D9599D">
        <w:t>The short-term tax multiplier is less than one because some of the money from a tax cut, for example, is saved.</w:t>
      </w:r>
    </w:p>
    <w:p w:rsidR="00337B26" w:rsidRDefault="006D4105" w:rsidP="00337B26">
      <w:r>
        <w:t xml:space="preserve">An employment multiplier shows </w:t>
      </w:r>
      <w:r w:rsidR="00994CFB">
        <w:t>the</w:t>
      </w:r>
      <w:r>
        <w:t xml:space="preserve"> number of jobs created per million dollars of </w:t>
      </w:r>
      <w:r w:rsidR="00CB2F44">
        <w:t xml:space="preserve">the </w:t>
      </w:r>
      <w:r>
        <w:t xml:space="preserve">initial expenditure. For example, a multiplier of 20 means 20 jobs were created per million dollars of program costs. </w:t>
      </w:r>
      <w:r w:rsidR="00CB2F44">
        <w:t xml:space="preserve">As shown by Fairholm (2009), </w:t>
      </w:r>
      <w:r w:rsidR="00AA1D3F">
        <w:t xml:space="preserve">the employment multiplier for the ELC sector is one of the largest of all sectors in the </w:t>
      </w:r>
      <w:r w:rsidR="0075651C">
        <w:t xml:space="preserve">Canadian </w:t>
      </w:r>
      <w:r w:rsidR="00AA1D3F">
        <w:t>economy.</w:t>
      </w:r>
      <w:r w:rsidR="00337B26" w:rsidRPr="00337B26">
        <w:t xml:space="preserve"> </w:t>
      </w:r>
    </w:p>
    <w:p w:rsidR="00337B26" w:rsidRDefault="00337B26" w:rsidP="00337B26">
      <w:r>
        <w:t>There are a number of studies that examine the short-term economic effect of investing in ELC. GDP multipliers</w:t>
      </w:r>
      <w:r w:rsidRPr="00BA46C3">
        <w:t xml:space="preserve"> </w:t>
      </w:r>
      <w:r>
        <w:t xml:space="preserve">for the ELC sector </w:t>
      </w:r>
      <w:r w:rsidRPr="00BA46C3">
        <w:t xml:space="preserve">range from slightly over </w:t>
      </w:r>
      <w:r>
        <w:t xml:space="preserve">1½ </w:t>
      </w:r>
      <w:r w:rsidRPr="00BA46C3">
        <w:t>dollar</w:t>
      </w:r>
      <w:r>
        <w:t>s to several dollars (see Table 3.1</w:t>
      </w:r>
      <w:r w:rsidRPr="00BA46C3">
        <w:t>). G</w:t>
      </w:r>
      <w:r>
        <w:t>enerally GDP multipliers for smaller regions are lower</w:t>
      </w:r>
      <w:r w:rsidRPr="00BA46C3">
        <w:t xml:space="preserve"> than multipliers for larger regions because of higher </w:t>
      </w:r>
      <w:r>
        <w:t xml:space="preserve">import </w:t>
      </w:r>
      <w:r w:rsidRPr="00BA46C3">
        <w:t>“leakage</w:t>
      </w:r>
      <w:r>
        <w:t>s</w:t>
      </w:r>
      <w:r w:rsidRPr="00BA46C3">
        <w:t xml:space="preserve">” (purchases made </w:t>
      </w:r>
      <w:r>
        <w:t>outside the local region) (see Figure 3.1</w:t>
      </w:r>
      <w:r w:rsidRPr="00BA46C3">
        <w:t>)</w:t>
      </w:r>
      <w:r>
        <w:t xml:space="preserve">. </w:t>
      </w:r>
    </w:p>
    <w:tbl>
      <w:tblPr>
        <w:tblW w:w="0" w:type="auto"/>
        <w:jc w:val="center"/>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tblPr>
      <w:tblGrid>
        <w:gridCol w:w="2558"/>
        <w:gridCol w:w="2644"/>
        <w:gridCol w:w="2983"/>
      </w:tblGrid>
      <w:tr w:rsidR="00433055" w:rsidRPr="00BA46C3" w:rsidTr="00494567">
        <w:trPr>
          <w:trHeight w:val="142"/>
          <w:jc w:val="center"/>
        </w:trPr>
        <w:tc>
          <w:tcPr>
            <w:tcW w:w="0" w:type="auto"/>
            <w:gridSpan w:val="3"/>
            <w:tcBorders>
              <w:top w:val="single" w:sz="4" w:space="0" w:color="auto"/>
              <w:bottom w:val="single" w:sz="4" w:space="0" w:color="auto"/>
            </w:tcBorders>
            <w:shd w:val="clear" w:color="auto" w:fill="FFFF99"/>
          </w:tcPr>
          <w:p w:rsidR="00433055" w:rsidRPr="00216F44" w:rsidRDefault="00433055" w:rsidP="00494567">
            <w:pPr>
              <w:snapToGrid w:val="0"/>
              <w:spacing w:after="0"/>
              <w:jc w:val="center"/>
              <w:rPr>
                <w:b/>
                <w:sz w:val="28"/>
                <w:szCs w:val="28"/>
              </w:rPr>
            </w:pPr>
            <w:r w:rsidRPr="00216F44">
              <w:rPr>
                <w:b/>
                <w:sz w:val="28"/>
                <w:szCs w:val="28"/>
              </w:rPr>
              <w:t xml:space="preserve">Table </w:t>
            </w:r>
            <w:r w:rsidR="00494567">
              <w:rPr>
                <w:b/>
                <w:sz w:val="28"/>
                <w:szCs w:val="28"/>
              </w:rPr>
              <w:t>3</w:t>
            </w:r>
            <w:r w:rsidR="00A126AF">
              <w:rPr>
                <w:b/>
                <w:sz w:val="28"/>
                <w:szCs w:val="28"/>
              </w:rPr>
              <w:t>.</w:t>
            </w:r>
            <w:r w:rsidR="009F4344">
              <w:rPr>
                <w:b/>
                <w:sz w:val="28"/>
                <w:szCs w:val="28"/>
              </w:rPr>
              <w:t>1</w:t>
            </w:r>
            <w:r w:rsidR="00FF3B3E" w:rsidRPr="00216F44">
              <w:rPr>
                <w:b/>
                <w:sz w:val="28"/>
                <w:szCs w:val="28"/>
              </w:rPr>
              <w:t xml:space="preserve">: </w:t>
            </w:r>
            <w:r w:rsidR="009F4344">
              <w:rPr>
                <w:b/>
                <w:sz w:val="28"/>
                <w:szCs w:val="28"/>
              </w:rPr>
              <w:t xml:space="preserve">Early Learning and Care </w:t>
            </w:r>
            <w:r w:rsidRPr="00216F44">
              <w:rPr>
                <w:b/>
                <w:sz w:val="28"/>
                <w:szCs w:val="28"/>
              </w:rPr>
              <w:t>Multipliers</w:t>
            </w:r>
            <w:r w:rsidR="00FF3B3E" w:rsidRPr="00216F44">
              <w:rPr>
                <w:b/>
                <w:sz w:val="28"/>
                <w:szCs w:val="28"/>
              </w:rPr>
              <w:t xml:space="preserve"> In Various Regions</w:t>
            </w:r>
          </w:p>
        </w:tc>
      </w:tr>
      <w:tr w:rsidR="008F2188" w:rsidRPr="00BA46C3" w:rsidTr="00494567">
        <w:trPr>
          <w:trHeight w:hRule="exact" w:val="283"/>
          <w:jc w:val="center"/>
        </w:trPr>
        <w:tc>
          <w:tcPr>
            <w:tcW w:w="0" w:type="auto"/>
            <w:tcBorders>
              <w:top w:val="single" w:sz="4" w:space="0" w:color="auto"/>
              <w:bottom w:val="single" w:sz="4" w:space="0" w:color="auto"/>
              <w:right w:val="single" w:sz="4" w:space="0" w:color="auto"/>
            </w:tcBorders>
            <w:shd w:val="clear" w:color="auto" w:fill="FFFF99"/>
          </w:tcPr>
          <w:p w:rsidR="008F2188" w:rsidRPr="00216F44" w:rsidRDefault="008F2188" w:rsidP="00267804">
            <w:pPr>
              <w:snapToGrid w:val="0"/>
              <w:spacing w:after="60"/>
              <w:rPr>
                <w:b/>
              </w:rPr>
            </w:pPr>
            <w:r w:rsidRPr="00216F44">
              <w:rPr>
                <w:b/>
              </w:rPr>
              <w:t>Reference</w:t>
            </w:r>
          </w:p>
        </w:tc>
        <w:tc>
          <w:tcPr>
            <w:tcW w:w="0" w:type="auto"/>
            <w:tcBorders>
              <w:top w:val="single" w:sz="4" w:space="0" w:color="auto"/>
              <w:left w:val="single" w:sz="4" w:space="0" w:color="auto"/>
              <w:bottom w:val="single" w:sz="4" w:space="0" w:color="auto"/>
            </w:tcBorders>
            <w:shd w:val="clear" w:color="auto" w:fill="FFFF99"/>
          </w:tcPr>
          <w:p w:rsidR="008F2188" w:rsidRPr="00216F44" w:rsidRDefault="008F2188" w:rsidP="00267804">
            <w:pPr>
              <w:snapToGrid w:val="0"/>
              <w:spacing w:after="60"/>
              <w:rPr>
                <w:b/>
              </w:rPr>
            </w:pPr>
            <w:r w:rsidRPr="00216F44">
              <w:rPr>
                <w:b/>
              </w:rPr>
              <w:t>Location</w:t>
            </w:r>
          </w:p>
        </w:tc>
        <w:tc>
          <w:tcPr>
            <w:tcW w:w="0" w:type="auto"/>
            <w:tcBorders>
              <w:top w:val="single" w:sz="4" w:space="0" w:color="auto"/>
              <w:bottom w:val="single" w:sz="4" w:space="0" w:color="auto"/>
            </w:tcBorders>
            <w:shd w:val="clear" w:color="auto" w:fill="FFFF99"/>
          </w:tcPr>
          <w:p w:rsidR="008F2188" w:rsidRPr="00216F44" w:rsidRDefault="008F2188" w:rsidP="00267804">
            <w:pPr>
              <w:snapToGrid w:val="0"/>
              <w:spacing w:after="60"/>
              <w:rPr>
                <w:b/>
              </w:rPr>
            </w:pPr>
            <w:r w:rsidRPr="00216F44">
              <w:rPr>
                <w:b/>
              </w:rPr>
              <w:t>Multiplier</w:t>
            </w:r>
          </w:p>
        </w:tc>
      </w:tr>
      <w:tr w:rsidR="008F2188" w:rsidRPr="00994CFB" w:rsidTr="00994CFB">
        <w:trPr>
          <w:trHeight w:hRule="exact" w:val="249"/>
          <w:jc w:val="center"/>
        </w:trPr>
        <w:tc>
          <w:tcPr>
            <w:tcW w:w="0" w:type="auto"/>
            <w:tcBorders>
              <w:top w:val="single" w:sz="4" w:space="0" w:color="auto"/>
              <w:bottom w:val="nil"/>
              <w:right w:val="single" w:sz="4" w:space="0" w:color="auto"/>
            </w:tcBorders>
          </w:tcPr>
          <w:p w:rsidR="004E2F78" w:rsidRPr="00994CFB" w:rsidRDefault="008F2188" w:rsidP="00267804">
            <w:pPr>
              <w:snapToGrid w:val="0"/>
              <w:spacing w:after="0"/>
              <w:rPr>
                <w:sz w:val="18"/>
                <w:szCs w:val="18"/>
              </w:rPr>
            </w:pPr>
            <w:r w:rsidRPr="00994CFB">
              <w:rPr>
                <w:sz w:val="18"/>
                <w:szCs w:val="18"/>
              </w:rPr>
              <w:t xml:space="preserve">Bartik </w:t>
            </w:r>
            <w:r w:rsidR="00C35694" w:rsidRPr="00994CFB">
              <w:rPr>
                <w:sz w:val="18"/>
                <w:szCs w:val="18"/>
              </w:rPr>
              <w:t>(</w:t>
            </w:r>
            <w:r w:rsidRPr="00994CFB">
              <w:rPr>
                <w:sz w:val="18"/>
                <w:szCs w:val="18"/>
              </w:rPr>
              <w:t>200</w:t>
            </w:r>
            <w:r w:rsidR="003E36E7" w:rsidRPr="00994CFB">
              <w:rPr>
                <w:sz w:val="18"/>
                <w:szCs w:val="18"/>
              </w:rPr>
              <w:t>6a</w:t>
            </w:r>
            <w:r w:rsidRPr="00994CFB">
              <w:rPr>
                <w:sz w:val="18"/>
                <w:szCs w:val="18"/>
              </w:rPr>
              <w:t>)</w:t>
            </w:r>
          </w:p>
        </w:tc>
        <w:tc>
          <w:tcPr>
            <w:tcW w:w="0" w:type="auto"/>
            <w:tcBorders>
              <w:top w:val="single" w:sz="4" w:space="0" w:color="auto"/>
              <w:left w:val="single" w:sz="4" w:space="0" w:color="auto"/>
            </w:tcBorders>
          </w:tcPr>
          <w:p w:rsidR="008F2188" w:rsidRPr="00994CFB" w:rsidRDefault="008F2188" w:rsidP="00267804">
            <w:pPr>
              <w:snapToGrid w:val="0"/>
              <w:spacing w:after="0"/>
              <w:rPr>
                <w:sz w:val="18"/>
                <w:szCs w:val="18"/>
              </w:rPr>
            </w:pPr>
            <w:r w:rsidRPr="00994CFB">
              <w:rPr>
                <w:sz w:val="18"/>
                <w:szCs w:val="18"/>
              </w:rPr>
              <w:t>US</w:t>
            </w:r>
          </w:p>
        </w:tc>
        <w:tc>
          <w:tcPr>
            <w:tcW w:w="0" w:type="auto"/>
            <w:tcBorders>
              <w:top w:val="single" w:sz="4" w:space="0" w:color="auto"/>
            </w:tcBorders>
          </w:tcPr>
          <w:p w:rsidR="008F2188" w:rsidRPr="00994CFB" w:rsidRDefault="008F2188" w:rsidP="00267804">
            <w:pPr>
              <w:snapToGrid w:val="0"/>
              <w:spacing w:after="0"/>
              <w:rPr>
                <w:sz w:val="18"/>
                <w:szCs w:val="18"/>
              </w:rPr>
            </w:pPr>
            <w:r w:rsidRPr="00994CFB">
              <w:rPr>
                <w:sz w:val="18"/>
                <w:szCs w:val="18"/>
              </w:rPr>
              <w:t>2.78 (state), 3.79 (national)</w:t>
            </w:r>
          </w:p>
        </w:tc>
      </w:tr>
      <w:tr w:rsidR="008F2188" w:rsidRPr="00994CFB" w:rsidTr="00994CFB">
        <w:trPr>
          <w:trHeight w:hRule="exact" w:val="249"/>
          <w:jc w:val="center"/>
        </w:trPr>
        <w:tc>
          <w:tcPr>
            <w:tcW w:w="0" w:type="auto"/>
            <w:tcBorders>
              <w:top w:val="nil"/>
              <w:bottom w:val="nil"/>
              <w:right w:val="single" w:sz="4" w:space="0" w:color="auto"/>
            </w:tcBorders>
          </w:tcPr>
          <w:p w:rsidR="008F2188" w:rsidRPr="00994CFB" w:rsidRDefault="00C35694" w:rsidP="00267804">
            <w:pPr>
              <w:snapToGrid w:val="0"/>
              <w:spacing w:after="0"/>
              <w:rPr>
                <w:sz w:val="18"/>
                <w:szCs w:val="18"/>
              </w:rPr>
            </w:pPr>
            <w:r w:rsidRPr="00994CFB">
              <w:rPr>
                <w:sz w:val="18"/>
                <w:szCs w:val="18"/>
              </w:rPr>
              <w:t>Pratt and Kay</w:t>
            </w:r>
            <w:r w:rsidR="008F2188" w:rsidRPr="00994CFB">
              <w:rPr>
                <w:sz w:val="18"/>
                <w:szCs w:val="18"/>
              </w:rPr>
              <w:t xml:space="preserve"> </w:t>
            </w:r>
            <w:r w:rsidRPr="00994CFB">
              <w:rPr>
                <w:sz w:val="18"/>
                <w:szCs w:val="18"/>
              </w:rPr>
              <w:t>(</w:t>
            </w:r>
            <w:r w:rsidR="008F2188" w:rsidRPr="00994CFB">
              <w:rPr>
                <w:sz w:val="18"/>
                <w:szCs w:val="18"/>
              </w:rPr>
              <w:t>2006)</w:t>
            </w:r>
          </w:p>
        </w:tc>
        <w:tc>
          <w:tcPr>
            <w:tcW w:w="0" w:type="auto"/>
            <w:tcBorders>
              <w:left w:val="single" w:sz="4" w:space="0" w:color="auto"/>
            </w:tcBorders>
          </w:tcPr>
          <w:p w:rsidR="008F2188" w:rsidRPr="00994CFB" w:rsidRDefault="008F2188" w:rsidP="00267804">
            <w:pPr>
              <w:snapToGrid w:val="0"/>
              <w:spacing w:after="0"/>
              <w:rPr>
                <w:sz w:val="18"/>
                <w:szCs w:val="18"/>
              </w:rPr>
            </w:pPr>
            <w:r w:rsidRPr="00994CFB">
              <w:rPr>
                <w:sz w:val="18"/>
                <w:szCs w:val="18"/>
              </w:rPr>
              <w:t>New York State</w:t>
            </w:r>
          </w:p>
        </w:tc>
        <w:tc>
          <w:tcPr>
            <w:tcW w:w="0" w:type="auto"/>
          </w:tcPr>
          <w:p w:rsidR="008F2188" w:rsidRPr="00994CFB" w:rsidRDefault="008F2188" w:rsidP="00267804">
            <w:pPr>
              <w:snapToGrid w:val="0"/>
              <w:spacing w:after="0"/>
              <w:rPr>
                <w:sz w:val="18"/>
                <w:szCs w:val="18"/>
              </w:rPr>
            </w:pPr>
            <w:r w:rsidRPr="00994CFB">
              <w:rPr>
                <w:sz w:val="18"/>
                <w:szCs w:val="18"/>
              </w:rPr>
              <w:t>1.78  (Type II)</w:t>
            </w:r>
          </w:p>
        </w:tc>
      </w:tr>
      <w:tr w:rsidR="008F2188" w:rsidRPr="00994CFB" w:rsidTr="00994CFB">
        <w:trPr>
          <w:trHeight w:hRule="exact" w:val="249"/>
          <w:jc w:val="center"/>
        </w:trPr>
        <w:tc>
          <w:tcPr>
            <w:tcW w:w="0" w:type="auto"/>
            <w:tcBorders>
              <w:top w:val="nil"/>
              <w:bottom w:val="nil"/>
              <w:right w:val="single" w:sz="4" w:space="0" w:color="auto"/>
            </w:tcBorders>
          </w:tcPr>
          <w:p w:rsidR="008F2188" w:rsidRPr="00994CFB" w:rsidRDefault="008F2188" w:rsidP="00267804">
            <w:pPr>
              <w:snapToGrid w:val="0"/>
              <w:spacing w:after="0"/>
              <w:rPr>
                <w:sz w:val="18"/>
                <w:szCs w:val="18"/>
              </w:rPr>
            </w:pPr>
            <w:r w:rsidRPr="00994CFB">
              <w:rPr>
                <w:sz w:val="18"/>
                <w:szCs w:val="18"/>
              </w:rPr>
              <w:t xml:space="preserve">Warner </w:t>
            </w:r>
            <w:r w:rsidR="00BC6A52" w:rsidRPr="00994CFB">
              <w:rPr>
                <w:i/>
                <w:iCs/>
                <w:sz w:val="18"/>
                <w:szCs w:val="18"/>
              </w:rPr>
              <w:t>et al.</w:t>
            </w:r>
            <w:r w:rsidRPr="00994CFB">
              <w:rPr>
                <w:sz w:val="18"/>
                <w:szCs w:val="18"/>
              </w:rPr>
              <w:t xml:space="preserve"> </w:t>
            </w:r>
            <w:r w:rsidR="00C35694" w:rsidRPr="00994CFB">
              <w:rPr>
                <w:sz w:val="18"/>
                <w:szCs w:val="18"/>
              </w:rPr>
              <w:t>(</w:t>
            </w:r>
            <w:r w:rsidRPr="00994CFB">
              <w:rPr>
                <w:sz w:val="18"/>
                <w:szCs w:val="18"/>
              </w:rPr>
              <w:t>2003)</w:t>
            </w:r>
          </w:p>
        </w:tc>
        <w:tc>
          <w:tcPr>
            <w:tcW w:w="0" w:type="auto"/>
            <w:tcBorders>
              <w:left w:val="single" w:sz="4" w:space="0" w:color="auto"/>
            </w:tcBorders>
          </w:tcPr>
          <w:p w:rsidR="008F2188" w:rsidRPr="00994CFB" w:rsidRDefault="008F2188" w:rsidP="00267804">
            <w:pPr>
              <w:snapToGrid w:val="0"/>
              <w:spacing w:after="0"/>
              <w:rPr>
                <w:sz w:val="18"/>
                <w:szCs w:val="18"/>
              </w:rPr>
            </w:pPr>
            <w:r w:rsidRPr="00994CFB">
              <w:rPr>
                <w:sz w:val="18"/>
                <w:szCs w:val="18"/>
              </w:rPr>
              <w:t>Tompkins County, NY</w:t>
            </w:r>
          </w:p>
        </w:tc>
        <w:tc>
          <w:tcPr>
            <w:tcW w:w="0" w:type="auto"/>
          </w:tcPr>
          <w:p w:rsidR="008F2188" w:rsidRPr="00994CFB" w:rsidRDefault="008F2188" w:rsidP="00267804">
            <w:pPr>
              <w:snapToGrid w:val="0"/>
              <w:spacing w:after="0"/>
              <w:rPr>
                <w:sz w:val="18"/>
                <w:szCs w:val="18"/>
              </w:rPr>
            </w:pPr>
            <w:r w:rsidRPr="00994CFB">
              <w:rPr>
                <w:sz w:val="18"/>
                <w:szCs w:val="18"/>
              </w:rPr>
              <w:t>1.60 (Type II)</w:t>
            </w:r>
          </w:p>
        </w:tc>
      </w:tr>
      <w:tr w:rsidR="008F2188" w:rsidRPr="00994CFB" w:rsidTr="00994CFB">
        <w:trPr>
          <w:trHeight w:hRule="exact" w:val="249"/>
          <w:jc w:val="center"/>
        </w:trPr>
        <w:tc>
          <w:tcPr>
            <w:tcW w:w="0" w:type="auto"/>
            <w:tcBorders>
              <w:top w:val="nil"/>
              <w:bottom w:val="nil"/>
              <w:right w:val="single" w:sz="4" w:space="0" w:color="auto"/>
            </w:tcBorders>
          </w:tcPr>
          <w:p w:rsidR="008F2188" w:rsidRPr="00994CFB" w:rsidRDefault="008F2188" w:rsidP="00267804">
            <w:pPr>
              <w:snapToGrid w:val="0"/>
              <w:spacing w:after="0"/>
              <w:rPr>
                <w:sz w:val="18"/>
                <w:szCs w:val="18"/>
              </w:rPr>
            </w:pPr>
            <w:r w:rsidRPr="00994CFB">
              <w:rPr>
                <w:sz w:val="18"/>
                <w:szCs w:val="18"/>
              </w:rPr>
              <w:t xml:space="preserve">Warner </w:t>
            </w:r>
            <w:r w:rsidR="00BC6A52" w:rsidRPr="00994CFB">
              <w:rPr>
                <w:i/>
                <w:iCs/>
                <w:sz w:val="18"/>
                <w:szCs w:val="18"/>
              </w:rPr>
              <w:t>et al.</w:t>
            </w:r>
            <w:r w:rsidRPr="00994CFB">
              <w:rPr>
                <w:sz w:val="18"/>
                <w:szCs w:val="18"/>
              </w:rPr>
              <w:t xml:space="preserve"> </w:t>
            </w:r>
            <w:r w:rsidR="00C35694" w:rsidRPr="00994CFB">
              <w:rPr>
                <w:sz w:val="18"/>
                <w:szCs w:val="18"/>
              </w:rPr>
              <w:t>(</w:t>
            </w:r>
            <w:r w:rsidRPr="00994CFB">
              <w:rPr>
                <w:sz w:val="18"/>
                <w:szCs w:val="18"/>
              </w:rPr>
              <w:t>2004)</w:t>
            </w:r>
          </w:p>
        </w:tc>
        <w:tc>
          <w:tcPr>
            <w:tcW w:w="0" w:type="auto"/>
            <w:tcBorders>
              <w:left w:val="single" w:sz="4" w:space="0" w:color="auto"/>
            </w:tcBorders>
          </w:tcPr>
          <w:p w:rsidR="008F2188" w:rsidRPr="00994CFB" w:rsidRDefault="008F2188" w:rsidP="00267804">
            <w:pPr>
              <w:snapToGrid w:val="0"/>
              <w:spacing w:after="0"/>
              <w:rPr>
                <w:sz w:val="18"/>
                <w:szCs w:val="18"/>
              </w:rPr>
            </w:pPr>
            <w:r w:rsidRPr="00994CFB">
              <w:rPr>
                <w:sz w:val="18"/>
                <w:szCs w:val="18"/>
              </w:rPr>
              <w:t>New York City, NY</w:t>
            </w:r>
          </w:p>
        </w:tc>
        <w:tc>
          <w:tcPr>
            <w:tcW w:w="0" w:type="auto"/>
          </w:tcPr>
          <w:p w:rsidR="008F2188" w:rsidRPr="00994CFB" w:rsidRDefault="008F2188" w:rsidP="00267804">
            <w:pPr>
              <w:snapToGrid w:val="0"/>
              <w:spacing w:after="0"/>
              <w:rPr>
                <w:sz w:val="18"/>
                <w:szCs w:val="18"/>
              </w:rPr>
            </w:pPr>
            <w:r w:rsidRPr="00994CFB">
              <w:rPr>
                <w:sz w:val="18"/>
                <w:szCs w:val="18"/>
              </w:rPr>
              <w:t>1.91</w:t>
            </w:r>
          </w:p>
        </w:tc>
      </w:tr>
      <w:tr w:rsidR="008F2188" w:rsidRPr="00994CFB" w:rsidTr="00994CFB">
        <w:trPr>
          <w:trHeight w:hRule="exact" w:val="249"/>
          <w:jc w:val="center"/>
        </w:trPr>
        <w:tc>
          <w:tcPr>
            <w:tcW w:w="0" w:type="auto"/>
            <w:tcBorders>
              <w:top w:val="nil"/>
              <w:bottom w:val="nil"/>
              <w:right w:val="single" w:sz="4" w:space="0" w:color="auto"/>
            </w:tcBorders>
          </w:tcPr>
          <w:p w:rsidR="008F2188" w:rsidRPr="00994CFB" w:rsidRDefault="00C35694" w:rsidP="00267804">
            <w:pPr>
              <w:snapToGrid w:val="0"/>
              <w:spacing w:after="0"/>
              <w:rPr>
                <w:sz w:val="18"/>
                <w:szCs w:val="18"/>
              </w:rPr>
            </w:pPr>
            <w:r w:rsidRPr="00994CFB">
              <w:rPr>
                <w:sz w:val="18"/>
                <w:szCs w:val="18"/>
              </w:rPr>
              <w:t>Warner and Liu</w:t>
            </w:r>
            <w:r w:rsidR="008F2188" w:rsidRPr="00994CFB">
              <w:rPr>
                <w:sz w:val="18"/>
                <w:szCs w:val="18"/>
              </w:rPr>
              <w:t xml:space="preserve"> </w:t>
            </w:r>
            <w:r w:rsidRPr="00994CFB">
              <w:rPr>
                <w:sz w:val="18"/>
                <w:szCs w:val="18"/>
              </w:rPr>
              <w:t>(</w:t>
            </w:r>
            <w:r w:rsidR="008F2188" w:rsidRPr="00994CFB">
              <w:rPr>
                <w:sz w:val="18"/>
                <w:szCs w:val="18"/>
              </w:rPr>
              <w:t>2004)</w:t>
            </w:r>
          </w:p>
        </w:tc>
        <w:tc>
          <w:tcPr>
            <w:tcW w:w="0" w:type="auto"/>
            <w:tcBorders>
              <w:left w:val="single" w:sz="4" w:space="0" w:color="auto"/>
            </w:tcBorders>
          </w:tcPr>
          <w:p w:rsidR="008F2188" w:rsidRPr="00994CFB" w:rsidRDefault="008F2188" w:rsidP="00267804">
            <w:pPr>
              <w:snapToGrid w:val="0"/>
              <w:spacing w:after="0"/>
              <w:rPr>
                <w:sz w:val="18"/>
                <w:szCs w:val="18"/>
              </w:rPr>
            </w:pPr>
            <w:r w:rsidRPr="00994CFB">
              <w:rPr>
                <w:sz w:val="18"/>
                <w:szCs w:val="18"/>
              </w:rPr>
              <w:t>US</w:t>
            </w:r>
          </w:p>
        </w:tc>
        <w:tc>
          <w:tcPr>
            <w:tcW w:w="0" w:type="auto"/>
          </w:tcPr>
          <w:p w:rsidR="008F2188" w:rsidRPr="00994CFB" w:rsidRDefault="008F2188" w:rsidP="00267804">
            <w:pPr>
              <w:snapToGrid w:val="0"/>
              <w:spacing w:after="0"/>
              <w:rPr>
                <w:sz w:val="18"/>
                <w:szCs w:val="18"/>
              </w:rPr>
            </w:pPr>
            <w:r w:rsidRPr="00994CFB">
              <w:rPr>
                <w:sz w:val="18"/>
                <w:szCs w:val="18"/>
              </w:rPr>
              <w:t>1.91 (Type II)</w:t>
            </w:r>
          </w:p>
        </w:tc>
      </w:tr>
      <w:tr w:rsidR="008F2188" w:rsidRPr="00994CFB" w:rsidTr="00994CFB">
        <w:trPr>
          <w:trHeight w:hRule="exact" w:val="249"/>
          <w:jc w:val="center"/>
        </w:trPr>
        <w:tc>
          <w:tcPr>
            <w:tcW w:w="0" w:type="auto"/>
            <w:tcBorders>
              <w:top w:val="nil"/>
              <w:bottom w:val="nil"/>
              <w:right w:val="single" w:sz="4" w:space="0" w:color="auto"/>
            </w:tcBorders>
          </w:tcPr>
          <w:p w:rsidR="008F2188" w:rsidRPr="00994CFB" w:rsidRDefault="00C35694" w:rsidP="00267804">
            <w:pPr>
              <w:snapToGrid w:val="0"/>
              <w:spacing w:after="0"/>
              <w:rPr>
                <w:sz w:val="18"/>
                <w:szCs w:val="18"/>
              </w:rPr>
            </w:pPr>
            <w:r w:rsidRPr="00994CFB">
              <w:rPr>
                <w:sz w:val="18"/>
                <w:szCs w:val="18"/>
              </w:rPr>
              <w:t>Prentice</w:t>
            </w:r>
            <w:r w:rsidR="008F2188" w:rsidRPr="00994CFB">
              <w:rPr>
                <w:sz w:val="18"/>
                <w:szCs w:val="18"/>
              </w:rPr>
              <w:t xml:space="preserve"> </w:t>
            </w:r>
            <w:r w:rsidRPr="00994CFB">
              <w:rPr>
                <w:sz w:val="18"/>
                <w:szCs w:val="18"/>
              </w:rPr>
              <w:t>(</w:t>
            </w:r>
            <w:r w:rsidR="008F2188" w:rsidRPr="00994CFB">
              <w:rPr>
                <w:sz w:val="18"/>
                <w:szCs w:val="18"/>
              </w:rPr>
              <w:t>2008)</w:t>
            </w:r>
          </w:p>
        </w:tc>
        <w:tc>
          <w:tcPr>
            <w:tcW w:w="0" w:type="auto"/>
            <w:tcBorders>
              <w:left w:val="single" w:sz="4" w:space="0" w:color="auto"/>
            </w:tcBorders>
          </w:tcPr>
          <w:p w:rsidR="008F2188" w:rsidRPr="00994CFB" w:rsidRDefault="009F4344" w:rsidP="00267804">
            <w:pPr>
              <w:snapToGrid w:val="0"/>
              <w:spacing w:after="0"/>
              <w:rPr>
                <w:sz w:val="18"/>
                <w:szCs w:val="18"/>
              </w:rPr>
            </w:pPr>
            <w:r w:rsidRPr="00994CFB">
              <w:rPr>
                <w:sz w:val="18"/>
                <w:szCs w:val="18"/>
              </w:rPr>
              <w:t xml:space="preserve">Local Area in </w:t>
            </w:r>
            <w:r w:rsidR="008F2188" w:rsidRPr="00994CFB">
              <w:rPr>
                <w:sz w:val="18"/>
                <w:szCs w:val="18"/>
              </w:rPr>
              <w:t>Manitoba</w:t>
            </w:r>
          </w:p>
        </w:tc>
        <w:tc>
          <w:tcPr>
            <w:tcW w:w="0" w:type="auto"/>
          </w:tcPr>
          <w:p w:rsidR="008F2188" w:rsidRPr="00994CFB" w:rsidRDefault="008F2188" w:rsidP="00267804">
            <w:pPr>
              <w:snapToGrid w:val="0"/>
              <w:spacing w:after="0"/>
              <w:rPr>
                <w:sz w:val="18"/>
                <w:szCs w:val="18"/>
              </w:rPr>
            </w:pPr>
            <w:r w:rsidRPr="00994CFB">
              <w:rPr>
                <w:sz w:val="18"/>
                <w:szCs w:val="18"/>
              </w:rPr>
              <w:t>1.58</w:t>
            </w:r>
            <w:r w:rsidR="00DC0371" w:rsidRPr="00994CFB">
              <w:rPr>
                <w:sz w:val="18"/>
                <w:szCs w:val="18"/>
              </w:rPr>
              <w:t xml:space="preserve"> (Type II)</w:t>
            </w:r>
          </w:p>
        </w:tc>
      </w:tr>
      <w:tr w:rsidR="009F4344" w:rsidRPr="00994CFB" w:rsidTr="00994CFB">
        <w:trPr>
          <w:trHeight w:hRule="exact" w:val="249"/>
          <w:jc w:val="center"/>
        </w:trPr>
        <w:tc>
          <w:tcPr>
            <w:tcW w:w="0" w:type="auto"/>
            <w:tcBorders>
              <w:top w:val="nil"/>
              <w:bottom w:val="nil"/>
              <w:right w:val="single" w:sz="4" w:space="0" w:color="auto"/>
            </w:tcBorders>
          </w:tcPr>
          <w:p w:rsidR="00DC0371" w:rsidRPr="00994CFB" w:rsidRDefault="009F4344" w:rsidP="00267804">
            <w:pPr>
              <w:snapToGrid w:val="0"/>
              <w:spacing w:after="0"/>
              <w:rPr>
                <w:sz w:val="18"/>
                <w:szCs w:val="18"/>
              </w:rPr>
            </w:pPr>
            <w:r w:rsidRPr="00994CFB">
              <w:rPr>
                <w:sz w:val="18"/>
                <w:szCs w:val="18"/>
              </w:rPr>
              <w:t>Fairholm (2009)</w:t>
            </w:r>
          </w:p>
        </w:tc>
        <w:tc>
          <w:tcPr>
            <w:tcW w:w="0" w:type="auto"/>
            <w:tcBorders>
              <w:left w:val="single" w:sz="4" w:space="0" w:color="auto"/>
            </w:tcBorders>
          </w:tcPr>
          <w:p w:rsidR="00DC0371" w:rsidRPr="00994CFB" w:rsidRDefault="009F4344" w:rsidP="00267804">
            <w:pPr>
              <w:snapToGrid w:val="0"/>
              <w:spacing w:after="0"/>
              <w:rPr>
                <w:sz w:val="18"/>
                <w:szCs w:val="18"/>
              </w:rPr>
            </w:pPr>
            <w:r w:rsidRPr="00994CFB">
              <w:rPr>
                <w:sz w:val="18"/>
                <w:szCs w:val="18"/>
              </w:rPr>
              <w:t>Canada</w:t>
            </w:r>
          </w:p>
        </w:tc>
        <w:tc>
          <w:tcPr>
            <w:tcW w:w="0" w:type="auto"/>
          </w:tcPr>
          <w:p w:rsidR="00DC0371" w:rsidRPr="00994CFB" w:rsidRDefault="009C7210" w:rsidP="00267804">
            <w:pPr>
              <w:snapToGrid w:val="0"/>
              <w:spacing w:after="0"/>
              <w:rPr>
                <w:sz w:val="18"/>
                <w:szCs w:val="18"/>
              </w:rPr>
            </w:pPr>
            <w:r w:rsidRPr="00994CFB">
              <w:rPr>
                <w:sz w:val="18"/>
                <w:szCs w:val="18"/>
              </w:rPr>
              <w:t>2.34</w:t>
            </w:r>
            <w:r w:rsidR="00F30CA2" w:rsidRPr="00994CFB">
              <w:rPr>
                <w:sz w:val="18"/>
                <w:szCs w:val="18"/>
              </w:rPr>
              <w:t xml:space="preserve"> (Type II)</w:t>
            </w:r>
          </w:p>
        </w:tc>
      </w:tr>
      <w:tr w:rsidR="00DC0371" w:rsidRPr="00994CFB" w:rsidTr="00994CFB">
        <w:trPr>
          <w:trHeight w:hRule="exact" w:val="249"/>
          <w:jc w:val="center"/>
        </w:trPr>
        <w:tc>
          <w:tcPr>
            <w:tcW w:w="0" w:type="auto"/>
            <w:tcBorders>
              <w:top w:val="nil"/>
              <w:bottom w:val="single" w:sz="4" w:space="0" w:color="auto"/>
              <w:right w:val="single" w:sz="4" w:space="0" w:color="auto"/>
            </w:tcBorders>
          </w:tcPr>
          <w:p w:rsidR="00DC0371" w:rsidRPr="00994CFB" w:rsidRDefault="00DC0371" w:rsidP="00267804">
            <w:pPr>
              <w:snapToGrid w:val="0"/>
              <w:spacing w:after="0"/>
              <w:rPr>
                <w:sz w:val="18"/>
                <w:szCs w:val="18"/>
              </w:rPr>
            </w:pPr>
            <w:r w:rsidRPr="00994CFB">
              <w:rPr>
                <w:sz w:val="18"/>
                <w:szCs w:val="18"/>
              </w:rPr>
              <w:t>Fairholm (2010)</w:t>
            </w:r>
          </w:p>
        </w:tc>
        <w:tc>
          <w:tcPr>
            <w:tcW w:w="0" w:type="auto"/>
            <w:tcBorders>
              <w:left w:val="single" w:sz="4" w:space="0" w:color="auto"/>
            </w:tcBorders>
          </w:tcPr>
          <w:p w:rsidR="00DC0371" w:rsidRPr="00994CFB" w:rsidRDefault="00DC0371" w:rsidP="00267804">
            <w:pPr>
              <w:snapToGrid w:val="0"/>
              <w:spacing w:after="0"/>
              <w:rPr>
                <w:sz w:val="18"/>
                <w:szCs w:val="18"/>
              </w:rPr>
            </w:pPr>
            <w:r w:rsidRPr="00994CFB">
              <w:rPr>
                <w:sz w:val="18"/>
                <w:szCs w:val="18"/>
              </w:rPr>
              <w:t>Ontario</w:t>
            </w:r>
          </w:p>
        </w:tc>
        <w:tc>
          <w:tcPr>
            <w:tcW w:w="0" w:type="auto"/>
          </w:tcPr>
          <w:p w:rsidR="00DC0371" w:rsidRPr="00994CFB" w:rsidRDefault="00DC0371" w:rsidP="00267804">
            <w:pPr>
              <w:snapToGrid w:val="0"/>
              <w:spacing w:after="0"/>
              <w:rPr>
                <w:sz w:val="18"/>
                <w:szCs w:val="18"/>
              </w:rPr>
            </w:pPr>
            <w:r w:rsidRPr="00994CFB">
              <w:rPr>
                <w:sz w:val="18"/>
                <w:szCs w:val="18"/>
              </w:rPr>
              <w:t>2.27 (Type II)</w:t>
            </w:r>
          </w:p>
        </w:tc>
      </w:tr>
    </w:tbl>
    <w:p w:rsidR="004E2F78" w:rsidRDefault="0023080D" w:rsidP="00494567">
      <w:pPr>
        <w:spacing w:after="0"/>
      </w:pPr>
      <w:r w:rsidRPr="0023080D">
        <w:rPr>
          <w:noProof/>
          <w:sz w:val="18"/>
          <w:szCs w:val="18"/>
          <w:lang w:eastAsia="en-CA"/>
        </w:rPr>
        <w:pict>
          <v:shape id="_x0000_s1047" type="#_x0000_t202" style="position:absolute;margin-left:2.05pt;margin-top:5.45pt;width:403.5pt;height:179.3pt;z-index:3;mso-position-horizontal-relative:text;mso-position-vertical-relative:text" stroked="f">
            <v:textbox style="mso-next-textbox:#_x0000_s1047">
              <w:txbxContent>
                <w:p w:rsidR="00042826" w:rsidRPr="00EF27A5" w:rsidRDefault="00042826" w:rsidP="00494567">
                  <w:pPr>
                    <w:spacing w:after="0"/>
                    <w:ind w:left="57"/>
                    <w:jc w:val="center"/>
                    <w:rPr>
                      <w:b/>
                    </w:rPr>
                  </w:pPr>
                  <w:r>
                    <w:rPr>
                      <w:b/>
                      <w:sz w:val="28"/>
                      <w:szCs w:val="28"/>
                    </w:rPr>
                    <w:t>Figure</w:t>
                  </w:r>
                  <w:r w:rsidRPr="00216F44">
                    <w:rPr>
                      <w:b/>
                      <w:sz w:val="28"/>
                      <w:szCs w:val="28"/>
                    </w:rPr>
                    <w:t xml:space="preserve"> </w:t>
                  </w:r>
                  <w:r w:rsidR="00494567">
                    <w:rPr>
                      <w:b/>
                      <w:sz w:val="28"/>
                      <w:szCs w:val="28"/>
                    </w:rPr>
                    <w:t>3</w:t>
                  </w:r>
                  <w:r>
                    <w:rPr>
                      <w:b/>
                      <w:sz w:val="28"/>
                      <w:szCs w:val="28"/>
                    </w:rPr>
                    <w:t>.1</w:t>
                  </w:r>
                  <w:r w:rsidRPr="00216F44">
                    <w:rPr>
                      <w:b/>
                      <w:sz w:val="28"/>
                      <w:szCs w:val="28"/>
                    </w:rPr>
                    <w:t xml:space="preserve">: Multipliers </w:t>
                  </w:r>
                  <w:r>
                    <w:rPr>
                      <w:b/>
                      <w:sz w:val="28"/>
                      <w:szCs w:val="28"/>
                    </w:rPr>
                    <w:t>by</w:t>
                  </w:r>
                  <w:r w:rsidRPr="00216F44">
                    <w:rPr>
                      <w:b/>
                      <w:sz w:val="28"/>
                      <w:szCs w:val="28"/>
                    </w:rPr>
                    <w:t xml:space="preserve"> Size o</w:t>
                  </w:r>
                  <w:r>
                    <w:rPr>
                      <w:b/>
                      <w:sz w:val="28"/>
                      <w:szCs w:val="28"/>
                    </w:rPr>
                    <w:t>f Region</w:t>
                  </w:r>
                </w:p>
                <w:p w:rsidR="00042826" w:rsidRPr="003F5A38" w:rsidRDefault="00C247C0" w:rsidP="007E746A">
                  <w:pPr>
                    <w:spacing w:after="0"/>
                    <w:ind w:left="57"/>
                    <w:jc w:val="center"/>
                    <w:rPr>
                      <w:lang w:val="en-US"/>
                    </w:rPr>
                  </w:pPr>
                  <w:r>
                    <w:rPr>
                      <w:noProof/>
                      <w:lang w:eastAsia="en-CA"/>
                    </w:rPr>
                    <w:drawing>
                      <wp:inline distT="0" distB="0" distL="0" distR="0">
                        <wp:extent cx="4086225" cy="18478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86225" cy="1847850"/>
                                </a:xfrm>
                                <a:prstGeom prst="rect">
                                  <a:avLst/>
                                </a:prstGeom>
                                <a:noFill/>
                                <a:ln w="9525">
                                  <a:noFill/>
                                  <a:miter lim="800000"/>
                                  <a:headEnd/>
                                  <a:tailEnd/>
                                </a:ln>
                              </pic:spPr>
                            </pic:pic>
                          </a:graphicData>
                        </a:graphic>
                      </wp:inline>
                    </w:drawing>
                  </w:r>
                </w:p>
                <w:p w:rsidR="00042826" w:rsidRPr="003C0A54" w:rsidRDefault="007E0E90" w:rsidP="007E0E90">
                  <w:pPr>
                    <w:spacing w:after="0"/>
                    <w:ind w:left="57"/>
                    <w:rPr>
                      <w:rFonts w:ascii="Arial" w:hAnsi="Arial"/>
                      <w:sz w:val="18"/>
                      <w:szCs w:val="18"/>
                      <w:lang w:val="en-US"/>
                    </w:rPr>
                  </w:pPr>
                  <w:r>
                    <w:rPr>
                      <w:b/>
                      <w:sz w:val="18"/>
                      <w:szCs w:val="18"/>
                    </w:rPr>
                    <w:t xml:space="preserve"> </w:t>
                  </w:r>
                  <w:r w:rsidR="00494567">
                    <w:rPr>
                      <w:b/>
                      <w:sz w:val="18"/>
                      <w:szCs w:val="18"/>
                    </w:rPr>
                    <w:tab/>
                  </w:r>
                  <w:r w:rsidR="00042826" w:rsidRPr="003C0A54">
                    <w:rPr>
                      <w:b/>
                      <w:sz w:val="18"/>
                      <w:szCs w:val="18"/>
                    </w:rPr>
                    <w:t xml:space="preserve">Source: Warner </w:t>
                  </w:r>
                  <w:r w:rsidR="00042826" w:rsidRPr="00BC6A52">
                    <w:rPr>
                      <w:b/>
                      <w:i/>
                      <w:iCs/>
                      <w:sz w:val="18"/>
                      <w:szCs w:val="18"/>
                    </w:rPr>
                    <w:t>et al.</w:t>
                  </w:r>
                  <w:r w:rsidR="00042826" w:rsidRPr="003C0A54">
                    <w:rPr>
                      <w:b/>
                      <w:sz w:val="18"/>
                      <w:szCs w:val="18"/>
                    </w:rPr>
                    <w:t>, (2003)</w:t>
                  </w:r>
                </w:p>
              </w:txbxContent>
            </v:textbox>
            <w10:wrap type="square"/>
          </v:shape>
        </w:pict>
      </w:r>
    </w:p>
    <w:p w:rsidR="004E2F78" w:rsidRDefault="004E2F78" w:rsidP="008F2188"/>
    <w:p w:rsidR="004E2F78" w:rsidRDefault="004E2F78" w:rsidP="008F2188"/>
    <w:p w:rsidR="002D31C1" w:rsidRDefault="002D31C1" w:rsidP="00A126AF">
      <w:pPr>
        <w:pStyle w:val="Heading2"/>
        <w:spacing w:before="0"/>
      </w:pPr>
      <w:bookmarkStart w:id="11" w:name="_Toc204739216"/>
    </w:p>
    <w:p w:rsidR="002D31C1" w:rsidRDefault="002D31C1" w:rsidP="00A126AF">
      <w:pPr>
        <w:pStyle w:val="Heading2"/>
        <w:spacing w:before="0"/>
      </w:pPr>
    </w:p>
    <w:p w:rsidR="002D31C1" w:rsidRDefault="002D31C1" w:rsidP="00A126AF">
      <w:pPr>
        <w:pStyle w:val="Heading2"/>
        <w:spacing w:before="0"/>
      </w:pPr>
    </w:p>
    <w:p w:rsidR="002D31C1" w:rsidRDefault="002D31C1" w:rsidP="00A126AF">
      <w:pPr>
        <w:pStyle w:val="Heading2"/>
        <w:spacing w:before="0"/>
      </w:pPr>
    </w:p>
    <w:p w:rsidR="00494567" w:rsidRDefault="00494567" w:rsidP="00C7027E">
      <w:pPr>
        <w:pStyle w:val="Heading2"/>
        <w:spacing w:before="240"/>
      </w:pPr>
    </w:p>
    <w:p w:rsidR="00A126AF" w:rsidRDefault="004E27DB" w:rsidP="00C7027E">
      <w:pPr>
        <w:pStyle w:val="Heading2"/>
        <w:spacing w:before="240"/>
      </w:pPr>
      <w:bookmarkStart w:id="12" w:name="_Toc283303667"/>
      <w:r>
        <w:t>4</w:t>
      </w:r>
      <w:r w:rsidR="00916985">
        <w:t xml:space="preserve">. </w:t>
      </w:r>
      <w:r w:rsidR="00EB2057">
        <w:t xml:space="preserve">Direct and Indirect </w:t>
      </w:r>
      <w:r w:rsidR="00D348D2">
        <w:t xml:space="preserve">Economic </w:t>
      </w:r>
      <w:r w:rsidR="00EB2057">
        <w:t>Impact</w:t>
      </w:r>
      <w:r w:rsidR="00D348D2">
        <w:t xml:space="preserve"> for ELC in Nova Scotia</w:t>
      </w:r>
      <w:bookmarkEnd w:id="12"/>
    </w:p>
    <w:p w:rsidR="00A7076B" w:rsidRPr="00EA4AC0" w:rsidRDefault="00267804" w:rsidP="00A7076B">
      <w:r>
        <w:t xml:space="preserve">A custom simulation was conducted using Statistics Canada’s provincial </w:t>
      </w:r>
      <w:r w:rsidR="00C41867">
        <w:t xml:space="preserve">IO </w:t>
      </w:r>
      <w:r>
        <w:t>simulation model</w:t>
      </w:r>
      <w:r w:rsidR="00A7076B">
        <w:t>.</w:t>
      </w:r>
      <w:r w:rsidR="00A7076B" w:rsidRPr="00A7076B">
        <w:t xml:space="preserve"> </w:t>
      </w:r>
      <w:r w:rsidR="00C41867">
        <w:t>S</w:t>
      </w:r>
      <w:r w:rsidR="00A7076B" w:rsidRPr="00EA4AC0">
        <w:t xml:space="preserve">ince the </w:t>
      </w:r>
      <w:r w:rsidR="00A7076B">
        <w:t>i</w:t>
      </w:r>
      <w:r w:rsidR="00A7076B" w:rsidRPr="00EA4AC0">
        <w:t>ndustry</w:t>
      </w:r>
      <w:r w:rsidR="00A7076B">
        <w:t xml:space="preserve"> </w:t>
      </w:r>
      <w:r w:rsidR="00A7076B" w:rsidRPr="00EA4AC0">
        <w:t>“Child day-care services”</w:t>
      </w:r>
      <w:r w:rsidR="00A7076B">
        <w:t xml:space="preserve"> (NAICS </w:t>
      </w:r>
      <w:r w:rsidR="00A7076B" w:rsidRPr="00EA4AC0">
        <w:t>6244</w:t>
      </w:r>
      <w:r w:rsidR="00A7076B">
        <w:t xml:space="preserve">) </w:t>
      </w:r>
      <w:r w:rsidR="00A7076B" w:rsidRPr="00EA4AC0">
        <w:t xml:space="preserve">was not represented </w:t>
      </w:r>
      <w:r w:rsidR="00A7076B">
        <w:t>at</w:t>
      </w:r>
      <w:r w:rsidR="00A7076B" w:rsidRPr="00EA4AC0">
        <w:t xml:space="preserve"> the worksheet level</w:t>
      </w:r>
      <w:r w:rsidR="00C41867">
        <w:t>, t</w:t>
      </w:r>
      <w:r w:rsidR="00C41867" w:rsidRPr="00EA4AC0">
        <w:t xml:space="preserve">he </w:t>
      </w:r>
      <w:r w:rsidR="00C41867">
        <w:t>simulation</w:t>
      </w:r>
      <w:r w:rsidR="00C41867" w:rsidRPr="00EA4AC0">
        <w:t xml:space="preserve"> was done by increasing </w:t>
      </w:r>
      <w:r w:rsidR="00C41867">
        <w:t>expenditure</w:t>
      </w:r>
      <w:r w:rsidR="00C41867" w:rsidRPr="00EA4AC0">
        <w:t xml:space="preserve"> </w:t>
      </w:r>
      <w:r w:rsidR="00C41867">
        <w:t xml:space="preserve">by million dollars </w:t>
      </w:r>
      <w:r w:rsidR="00C41867" w:rsidRPr="00EA4AC0">
        <w:t>for “Ch</w:t>
      </w:r>
      <w:r w:rsidR="00C41867">
        <w:t>ild care, outside the home”</w:t>
      </w:r>
      <w:r w:rsidR="0054684A">
        <w:t>.</w:t>
      </w:r>
      <w:r w:rsidR="00C41867" w:rsidRPr="00C41867">
        <w:rPr>
          <w:rStyle w:val="FootnoteReference"/>
        </w:rPr>
        <w:t xml:space="preserve"> </w:t>
      </w:r>
      <w:r w:rsidR="00C41867">
        <w:rPr>
          <w:rStyle w:val="FootnoteReference"/>
        </w:rPr>
        <w:footnoteReference w:id="14"/>
      </w:r>
      <w:r w:rsidR="00C41867" w:rsidRPr="00EA4AC0">
        <w:t xml:space="preserve"> </w:t>
      </w:r>
      <w:r w:rsidR="00C41867">
        <w:t xml:space="preserve"> </w:t>
      </w:r>
      <w:r w:rsidR="0054684A">
        <w:t xml:space="preserve">Summary information from the custom simulation is provided in Table </w:t>
      </w:r>
      <w:r w:rsidR="004E27DB">
        <w:t>4</w:t>
      </w:r>
      <w:r w:rsidR="00D348D2">
        <w:t>.</w:t>
      </w:r>
      <w:r w:rsidR="0054684A">
        <w:t xml:space="preserve">1. </w:t>
      </w:r>
      <w:r w:rsidR="00A7076B" w:rsidRPr="00EA4AC0">
        <w:t xml:space="preserve">This custom simulation is helpful because </w:t>
      </w:r>
      <w:r w:rsidR="00A7076B">
        <w:t>it</w:t>
      </w:r>
      <w:r w:rsidR="00A7076B" w:rsidRPr="00EA4AC0">
        <w:t xml:space="preserve"> can be compared with the impacts on the economy from increasing output in other industries.</w:t>
      </w:r>
    </w:p>
    <w:p w:rsidR="0042574B" w:rsidRDefault="0042574B" w:rsidP="00F12143">
      <w:r>
        <w:t xml:space="preserve">Statistics Canada’s </w:t>
      </w:r>
      <w:r w:rsidR="00267804">
        <w:t xml:space="preserve">most recent provincial </w:t>
      </w:r>
      <w:r>
        <w:t>IO</w:t>
      </w:r>
      <w:r w:rsidR="00267804">
        <w:t xml:space="preserve"> model reflects the structure of the </w:t>
      </w:r>
      <w:r w:rsidR="00CE2383">
        <w:t xml:space="preserve">Nova Scotia </w:t>
      </w:r>
      <w:r w:rsidR="00267804">
        <w:t>economy in 2006. Since t</w:t>
      </w:r>
      <w:r w:rsidR="00267804" w:rsidRPr="0010633B">
        <w:t xml:space="preserve">he economy is constantly evolving, </w:t>
      </w:r>
      <w:r w:rsidR="00267804">
        <w:t>the IO model results were adjusted to be more representative of the effects that could be expected today. This was done by altering the direct employment effect to reflect the average weekly earnings of $422.97 for the “Child Day-Care Services”</w:t>
      </w:r>
      <w:r w:rsidR="00215A41">
        <w:t xml:space="preserve"> (NAICS 6244)</w:t>
      </w:r>
      <w:r w:rsidR="00D348D2">
        <w:t xml:space="preserve"> for 2009 from the Survey of Employment, Payrolls and Hours (SEPH)</w:t>
      </w:r>
      <w:r w:rsidR="00267804">
        <w:t xml:space="preserve">. The weekly </w:t>
      </w:r>
      <w:r w:rsidR="003C7A7A">
        <w:t>earnings, including overtime,</w:t>
      </w:r>
      <w:r w:rsidR="00267804">
        <w:t xml:space="preserve"> w</w:t>
      </w:r>
      <w:r w:rsidR="00D348D2">
        <w:t>ere</w:t>
      </w:r>
      <w:r w:rsidR="00267804">
        <w:t xml:space="preserve"> annualized to reflect 5</w:t>
      </w:r>
      <w:r w:rsidR="00CC7EE8">
        <w:t>2</w:t>
      </w:r>
      <w:r w:rsidR="00267804">
        <w:t xml:space="preserve"> weeks a year, which means an annual wage of $2</w:t>
      </w:r>
      <w:r w:rsidR="00CC7EE8">
        <w:t>2</w:t>
      </w:r>
      <w:r w:rsidR="00267804">
        <w:t>,</w:t>
      </w:r>
      <w:r w:rsidR="00D348D2">
        <w:t>020</w:t>
      </w:r>
      <w:r w:rsidR="00267804">
        <w:t xml:space="preserve">. </w:t>
      </w:r>
    </w:p>
    <w:p w:rsidR="00267804" w:rsidRDefault="0042574B" w:rsidP="00F12143">
      <w:r>
        <w:t>W</w:t>
      </w:r>
      <w:r w:rsidR="00267804">
        <w:t xml:space="preserve">ages do not </w:t>
      </w:r>
      <w:r w:rsidR="00D348D2">
        <w:t>represent</w:t>
      </w:r>
      <w:r w:rsidR="00267804">
        <w:t xml:space="preserve"> all labour </w:t>
      </w:r>
      <w:r w:rsidR="00D348D2">
        <w:t xml:space="preserve">income, since there </w:t>
      </w:r>
      <w:r w:rsidR="00DA60CB">
        <w:t>is</w:t>
      </w:r>
      <w:r w:rsidR="00D348D2">
        <w:t xml:space="preserve"> also other income, such as </w:t>
      </w:r>
      <w:r w:rsidR="00267804">
        <w:t>supplementary labour income</w:t>
      </w:r>
      <w:r w:rsidR="00C41867">
        <w:t xml:space="preserve"> (SLI)</w:t>
      </w:r>
      <w:r w:rsidR="00267804">
        <w:t xml:space="preserve">. The IO simulation shows SLI </w:t>
      </w:r>
      <w:r w:rsidR="00050F42">
        <w:t xml:space="preserve">being </w:t>
      </w:r>
      <w:r w:rsidR="00C41867">
        <w:t xml:space="preserve">18.1% of wages. </w:t>
      </w:r>
      <w:r w:rsidR="00DA60CB">
        <w:t>Accordingly, w</w:t>
      </w:r>
      <w:r w:rsidR="00267804">
        <w:t>ages were scaled up 18.1% to $2</w:t>
      </w:r>
      <w:r w:rsidR="00CC7EE8">
        <w:t>6</w:t>
      </w:r>
      <w:r w:rsidR="00267804">
        <w:t>,</w:t>
      </w:r>
      <w:r w:rsidR="00BA6B3E">
        <w:t>00</w:t>
      </w:r>
      <w:r w:rsidR="00CC7EE8">
        <w:t>6</w:t>
      </w:r>
      <w:r w:rsidR="00267804">
        <w:t xml:space="preserve"> to </w:t>
      </w:r>
      <w:r>
        <w:t>reflect</w:t>
      </w:r>
      <w:r w:rsidR="00267804">
        <w:t xml:space="preserve"> </w:t>
      </w:r>
      <w:r w:rsidR="00215A41">
        <w:t xml:space="preserve">total </w:t>
      </w:r>
      <w:r w:rsidR="00267804">
        <w:t xml:space="preserve">labour </w:t>
      </w:r>
      <w:r w:rsidR="00DA60CB">
        <w:t>income</w:t>
      </w:r>
      <w:r w:rsidR="00267804">
        <w:t xml:space="preserve"> per worker. </w:t>
      </w:r>
      <w:r>
        <w:t>T</w:t>
      </w:r>
      <w:r w:rsidR="00267804">
        <w:t>he total number of direct jobs</w:t>
      </w:r>
      <w:r>
        <w:t xml:space="preserve"> created</w:t>
      </w:r>
      <w:r w:rsidR="00267804">
        <w:t xml:space="preserve">, </w:t>
      </w:r>
      <w:r>
        <w:t xml:space="preserve">were then calculated </w:t>
      </w:r>
      <w:r w:rsidR="00267804">
        <w:t xml:space="preserve">by dividing the total change in direct labour income </w:t>
      </w:r>
      <w:r>
        <w:t xml:space="preserve">from the IO simulation </w:t>
      </w:r>
      <w:r w:rsidR="00267804">
        <w:t xml:space="preserve">by the average labour </w:t>
      </w:r>
      <w:r w:rsidR="00DA60CB">
        <w:t>income</w:t>
      </w:r>
      <w:r w:rsidR="00267804">
        <w:t xml:space="preserve"> </w:t>
      </w:r>
      <w:r>
        <w:t>per</w:t>
      </w:r>
      <w:r w:rsidR="00C41867">
        <w:t xml:space="preserve"> worker</w:t>
      </w:r>
      <w:r w:rsidR="00267804">
        <w:t xml:space="preserve">. </w:t>
      </w:r>
      <w:r w:rsidR="00E81239">
        <w:t>This means that the direct employment effect is 3</w:t>
      </w:r>
      <w:r w:rsidR="00CC7EE8">
        <w:t>1</w:t>
      </w:r>
      <w:r w:rsidR="00E81239">
        <w:t>.</w:t>
      </w:r>
      <w:r w:rsidR="00CC7EE8">
        <w:t>00</w:t>
      </w:r>
      <w:r w:rsidR="00E81239">
        <w:t xml:space="preserve"> ($806,035/$2</w:t>
      </w:r>
      <w:r w:rsidR="00CC7EE8">
        <w:t>6</w:t>
      </w:r>
      <w:r w:rsidR="00E81239">
        <w:t>,</w:t>
      </w:r>
      <w:r w:rsidR="003C7A7A">
        <w:t>00</w:t>
      </w:r>
      <w:r w:rsidR="00CC7EE8">
        <w:t>6</w:t>
      </w:r>
      <w:r w:rsidR="00E81239">
        <w:t>)</w:t>
      </w:r>
      <w:r w:rsidR="00C41867">
        <w:t xml:space="preserve"> jobs per million dollars</w:t>
      </w:r>
      <w:r w:rsidR="00E81239">
        <w:t xml:space="preserve">. The indirect employment effect </w:t>
      </w:r>
      <w:r w:rsidR="00DE6B58">
        <w:t>was calculated in a similar manner. First, the average weekly wage from the SEPH for the industrial aggregate for 2009 was annualized and then scaling up by 18.1% to get average labour costs of $4</w:t>
      </w:r>
      <w:r w:rsidR="0027096B">
        <w:t>4</w:t>
      </w:r>
      <w:r w:rsidR="00DE6B58">
        <w:t>,</w:t>
      </w:r>
      <w:r w:rsidR="0027096B">
        <w:t>858</w:t>
      </w:r>
      <w:r w:rsidR="00DE6B58">
        <w:t xml:space="preserve"> per worker. The estimated indirect increase in total labour income was divided by the average cost per worker to obtain </w:t>
      </w:r>
      <w:r w:rsidR="00F34587">
        <w:t>0.</w:t>
      </w:r>
      <w:r w:rsidR="00DE6B58">
        <w:t>6</w:t>
      </w:r>
      <w:r w:rsidR="00AB5816">
        <w:t>4</w:t>
      </w:r>
      <w:r w:rsidR="00DE6B58">
        <w:t xml:space="preserve"> </w:t>
      </w:r>
      <w:r w:rsidR="00F34587">
        <w:t>($28,533/$4</w:t>
      </w:r>
      <w:r w:rsidR="00AB5816">
        <w:t>4</w:t>
      </w:r>
      <w:r w:rsidR="00F34587">
        <w:t>,</w:t>
      </w:r>
      <w:r w:rsidR="00AB5816">
        <w:t>85</w:t>
      </w:r>
      <w:r w:rsidR="0027096B">
        <w:t>8</w:t>
      </w:r>
      <w:r w:rsidR="00F34587">
        <w:t xml:space="preserve">) </w:t>
      </w:r>
      <w:r w:rsidR="00DE6B58">
        <w:t>jobs</w:t>
      </w:r>
      <w:r w:rsidR="00F34587">
        <w:t xml:space="preserve"> per million dollars</w:t>
      </w:r>
      <w:r w:rsidR="00DE6B58">
        <w:t>.</w:t>
      </w:r>
    </w:p>
    <w:tbl>
      <w:tblPr>
        <w:tblW w:w="0" w:type="auto"/>
        <w:jc w:val="center"/>
        <w:tblInd w:w="103" w:type="dxa"/>
        <w:tblLook w:val="0000"/>
      </w:tblPr>
      <w:tblGrid>
        <w:gridCol w:w="5335"/>
        <w:gridCol w:w="882"/>
      </w:tblGrid>
      <w:tr w:rsidR="0054684A" w:rsidRPr="00EA4AC0" w:rsidTr="0026444C">
        <w:trPr>
          <w:trHeight w:val="454"/>
          <w:jc w:val="center"/>
        </w:trPr>
        <w:tc>
          <w:tcPr>
            <w:tcW w:w="0" w:type="auto"/>
            <w:gridSpan w:val="2"/>
            <w:tcBorders>
              <w:top w:val="single" w:sz="4" w:space="0" w:color="auto"/>
              <w:left w:val="single" w:sz="4" w:space="0" w:color="auto"/>
              <w:bottom w:val="single" w:sz="8" w:space="0" w:color="auto"/>
              <w:right w:val="single" w:sz="4" w:space="0" w:color="auto"/>
            </w:tcBorders>
            <w:shd w:val="clear" w:color="auto" w:fill="FFFF99"/>
            <w:vAlign w:val="center"/>
          </w:tcPr>
          <w:p w:rsidR="0054684A" w:rsidRPr="00EA4AC0" w:rsidRDefault="0054684A" w:rsidP="004E27DB">
            <w:pPr>
              <w:tabs>
                <w:tab w:val="left" w:pos="6173"/>
              </w:tabs>
              <w:spacing w:after="0"/>
              <w:jc w:val="center"/>
              <w:rPr>
                <w:rFonts w:cs="Times New Roman"/>
                <w:sz w:val="24"/>
                <w:lang w:val="en-US"/>
              </w:rPr>
            </w:pPr>
            <w:r w:rsidRPr="00EA4AC0">
              <w:rPr>
                <w:rFonts w:cs="Times New Roman"/>
                <w:b/>
                <w:bCs/>
                <w:sz w:val="24"/>
                <w:lang w:val="en-US"/>
              </w:rPr>
              <w:t xml:space="preserve">Table </w:t>
            </w:r>
            <w:r w:rsidR="004E27DB">
              <w:rPr>
                <w:rFonts w:cs="Times New Roman"/>
                <w:b/>
                <w:bCs/>
                <w:sz w:val="24"/>
                <w:lang w:val="en-US"/>
              </w:rPr>
              <w:t>4</w:t>
            </w:r>
            <w:r w:rsidRPr="00EA4AC0">
              <w:rPr>
                <w:rFonts w:cs="Times New Roman"/>
                <w:b/>
                <w:bCs/>
                <w:sz w:val="24"/>
                <w:lang w:val="en-US"/>
              </w:rPr>
              <w:t xml:space="preserve">.1: </w:t>
            </w:r>
            <w:r w:rsidR="00E02E29">
              <w:rPr>
                <w:rFonts w:cs="Times New Roman"/>
                <w:b/>
                <w:bCs/>
                <w:sz w:val="24"/>
                <w:lang w:val="en-US"/>
              </w:rPr>
              <w:t>ELC</w:t>
            </w:r>
            <w:r w:rsidRPr="00EA4AC0">
              <w:rPr>
                <w:rFonts w:cs="Times New Roman"/>
                <w:b/>
                <w:bCs/>
                <w:sz w:val="24"/>
                <w:lang w:val="en-US"/>
              </w:rPr>
              <w:t xml:space="preserve"> Outside the Home - Ratios and Multipliers</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b/>
                <w:bCs/>
                <w:color w:val="000000"/>
                <w:sz w:val="20"/>
                <w:szCs w:val="20"/>
                <w:lang w:val="en-US"/>
              </w:rPr>
            </w:pPr>
            <w:r w:rsidRPr="00EA4AC0">
              <w:rPr>
                <w:rFonts w:cs="Times New Roman"/>
                <w:b/>
                <w:bCs/>
                <w:color w:val="000000"/>
                <w:sz w:val="20"/>
                <w:szCs w:val="20"/>
                <w:lang w:val="en-US"/>
              </w:rPr>
              <w:t xml:space="preserve">GDP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rPr>
                <w:rFonts w:ascii="Helvetica" w:hAnsi="Helvetica"/>
                <w:sz w:val="20"/>
                <w:szCs w:val="20"/>
                <w:lang w:val="en-US"/>
              </w:rPr>
            </w:pPr>
            <w:r w:rsidRPr="00EA4AC0">
              <w:rPr>
                <w:rFonts w:ascii="Helvetica" w:hAnsi="Helvetica"/>
                <w:sz w:val="20"/>
                <w:szCs w:val="20"/>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Direct GDP</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54684A">
            <w:pPr>
              <w:spacing w:after="0"/>
              <w:jc w:val="right"/>
              <w:rPr>
                <w:rFonts w:cs="Times New Roman"/>
                <w:szCs w:val="22"/>
                <w:lang w:val="en-US"/>
              </w:rPr>
            </w:pPr>
            <w:r w:rsidRPr="00EA4AC0">
              <w:rPr>
                <w:rFonts w:cs="Times New Roman"/>
                <w:szCs w:val="22"/>
                <w:lang w:val="en-US"/>
              </w:rPr>
              <w:t>0.</w:t>
            </w:r>
            <w:r>
              <w:rPr>
                <w:rFonts w:cs="Times New Roman"/>
                <w:szCs w:val="22"/>
                <w:lang w:val="en-US"/>
              </w:rPr>
              <w:t>905</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Total GDP multiplier</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54684A">
            <w:pPr>
              <w:spacing w:after="0"/>
              <w:jc w:val="right"/>
              <w:rPr>
                <w:rFonts w:cs="Times New Roman"/>
                <w:szCs w:val="22"/>
                <w:lang w:val="en-US"/>
              </w:rPr>
            </w:pPr>
            <w:r w:rsidRPr="00EA4AC0">
              <w:rPr>
                <w:rFonts w:cs="Times New Roman"/>
                <w:szCs w:val="22"/>
                <w:lang w:val="en-US"/>
              </w:rPr>
              <w:t>0.9</w:t>
            </w:r>
            <w:r>
              <w:rPr>
                <w:rFonts w:cs="Times New Roman"/>
                <w:szCs w:val="22"/>
                <w:lang w:val="en-US"/>
              </w:rPr>
              <w:t>52</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Ratio of total-to-direct GDP</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54684A">
            <w:pPr>
              <w:spacing w:after="0"/>
              <w:jc w:val="right"/>
              <w:rPr>
                <w:rFonts w:cs="Times New Roman"/>
                <w:szCs w:val="22"/>
                <w:lang w:val="en-US"/>
              </w:rPr>
            </w:pPr>
            <w:r w:rsidRPr="00EA4AC0">
              <w:rPr>
                <w:rFonts w:cs="Times New Roman"/>
                <w:szCs w:val="22"/>
                <w:lang w:val="en-US"/>
              </w:rPr>
              <w:t>1.</w:t>
            </w:r>
            <w:r>
              <w:rPr>
                <w:rFonts w:cs="Times New Roman"/>
                <w:szCs w:val="22"/>
                <w:lang w:val="en-US"/>
              </w:rPr>
              <w:t>052</w:t>
            </w:r>
          </w:p>
        </w:tc>
      </w:tr>
      <w:tr w:rsidR="0054684A" w:rsidRPr="00EA4AC0" w:rsidTr="0026444C">
        <w:trPr>
          <w:trHeight w:val="57"/>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b/>
                <w:bCs/>
                <w:color w:val="000000"/>
                <w:sz w:val="20"/>
                <w:szCs w:val="20"/>
                <w:lang w:val="en-US"/>
              </w:rPr>
            </w:pPr>
            <w:r w:rsidRPr="00EA4AC0">
              <w:rPr>
                <w:rFonts w:cs="Times New Roman"/>
                <w:b/>
                <w:bCs/>
                <w:color w:val="000000"/>
                <w:sz w:val="20"/>
                <w:szCs w:val="20"/>
                <w:lang w:val="en-US"/>
              </w:rPr>
              <w:t xml:space="preserve">Labour income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Direct labour income</w:t>
            </w:r>
          </w:p>
        </w:tc>
        <w:tc>
          <w:tcPr>
            <w:tcW w:w="0" w:type="auto"/>
            <w:tcBorders>
              <w:top w:val="nil"/>
              <w:left w:val="nil"/>
              <w:bottom w:val="nil"/>
              <w:right w:val="single" w:sz="4" w:space="0" w:color="auto"/>
            </w:tcBorders>
            <w:shd w:val="clear" w:color="auto" w:fill="auto"/>
            <w:noWrap/>
            <w:vAlign w:val="bottom"/>
          </w:tcPr>
          <w:p w:rsidR="0054684A" w:rsidRPr="00EA4AC0" w:rsidRDefault="00916985" w:rsidP="00916985">
            <w:pPr>
              <w:spacing w:after="0"/>
              <w:jc w:val="right"/>
              <w:rPr>
                <w:rFonts w:cs="Times New Roman"/>
                <w:szCs w:val="22"/>
                <w:lang w:val="en-US"/>
              </w:rPr>
            </w:pPr>
            <w:r>
              <w:rPr>
                <w:rFonts w:cs="Times New Roman"/>
                <w:szCs w:val="22"/>
                <w:lang w:val="en-US"/>
              </w:rPr>
              <w:t>0</w:t>
            </w:r>
            <w:r w:rsidR="0054684A" w:rsidRPr="00EA4AC0">
              <w:rPr>
                <w:rFonts w:cs="Times New Roman"/>
                <w:szCs w:val="22"/>
                <w:lang w:val="en-US"/>
              </w:rPr>
              <w:t>.</w:t>
            </w:r>
            <w:r>
              <w:rPr>
                <w:rFonts w:cs="Times New Roman"/>
                <w:szCs w:val="22"/>
                <w:lang w:val="en-US"/>
              </w:rPr>
              <w:t>806</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Total  labour income multiplier</w:t>
            </w:r>
          </w:p>
        </w:tc>
        <w:tc>
          <w:tcPr>
            <w:tcW w:w="0" w:type="auto"/>
            <w:tcBorders>
              <w:top w:val="nil"/>
              <w:left w:val="nil"/>
              <w:bottom w:val="nil"/>
              <w:right w:val="single" w:sz="4" w:space="0" w:color="auto"/>
            </w:tcBorders>
            <w:shd w:val="clear" w:color="auto" w:fill="auto"/>
            <w:noWrap/>
            <w:vAlign w:val="bottom"/>
          </w:tcPr>
          <w:p w:rsidR="0054684A" w:rsidRPr="00EA4AC0" w:rsidRDefault="00916985" w:rsidP="00916985">
            <w:pPr>
              <w:spacing w:after="0"/>
              <w:jc w:val="right"/>
              <w:rPr>
                <w:rFonts w:cs="Times New Roman"/>
                <w:szCs w:val="22"/>
                <w:lang w:val="en-US"/>
              </w:rPr>
            </w:pPr>
            <w:r>
              <w:rPr>
                <w:rFonts w:cs="Times New Roman"/>
                <w:szCs w:val="22"/>
                <w:lang w:val="en-US"/>
              </w:rPr>
              <w:t>0</w:t>
            </w:r>
            <w:r w:rsidR="0054684A" w:rsidRPr="00EA4AC0">
              <w:rPr>
                <w:rFonts w:cs="Times New Roman"/>
                <w:szCs w:val="22"/>
                <w:lang w:val="en-US"/>
              </w:rPr>
              <w:t>.</w:t>
            </w:r>
            <w:r>
              <w:rPr>
                <w:rFonts w:cs="Times New Roman"/>
                <w:szCs w:val="22"/>
                <w:lang w:val="en-US"/>
              </w:rPr>
              <w:t>835</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Ratio of total-to-direct labour income</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6985">
            <w:pPr>
              <w:spacing w:after="0"/>
              <w:jc w:val="right"/>
              <w:rPr>
                <w:rFonts w:cs="Times New Roman"/>
                <w:szCs w:val="22"/>
                <w:lang w:val="en-US"/>
              </w:rPr>
            </w:pPr>
            <w:r w:rsidRPr="00EA4AC0">
              <w:rPr>
                <w:rFonts w:cs="Times New Roman"/>
                <w:szCs w:val="22"/>
                <w:lang w:val="en-US"/>
              </w:rPr>
              <w:t>1.</w:t>
            </w:r>
            <w:r w:rsidR="00916985">
              <w:rPr>
                <w:rFonts w:cs="Times New Roman"/>
                <w:szCs w:val="22"/>
                <w:lang w:val="en-US"/>
              </w:rPr>
              <w:t>035</w:t>
            </w:r>
          </w:p>
        </w:tc>
      </w:tr>
      <w:tr w:rsidR="0054684A" w:rsidRPr="00EA4AC0" w:rsidTr="0026444C">
        <w:trPr>
          <w:trHeight w:val="57"/>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b/>
                <w:bCs/>
                <w:color w:val="000000"/>
                <w:sz w:val="20"/>
                <w:szCs w:val="20"/>
                <w:lang w:val="en-US"/>
              </w:rPr>
            </w:pPr>
            <w:r w:rsidRPr="00EA4AC0">
              <w:rPr>
                <w:rFonts w:cs="Times New Roman"/>
                <w:b/>
                <w:bCs/>
                <w:color w:val="000000"/>
                <w:sz w:val="20"/>
                <w:szCs w:val="20"/>
                <w:lang w:val="en-US"/>
              </w:rPr>
              <w:t>Employment</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42574B" w:rsidP="009129F2">
            <w:pPr>
              <w:spacing w:after="0"/>
              <w:rPr>
                <w:rFonts w:cs="Times New Roman"/>
                <w:color w:val="000000"/>
                <w:sz w:val="20"/>
                <w:szCs w:val="20"/>
                <w:lang w:val="en-US"/>
              </w:rPr>
            </w:pPr>
            <w:r>
              <w:rPr>
                <w:rFonts w:cs="Times New Roman"/>
                <w:color w:val="000000"/>
                <w:sz w:val="20"/>
                <w:szCs w:val="20"/>
                <w:lang w:val="en-US"/>
              </w:rPr>
              <w:t xml:space="preserve">Direct </w:t>
            </w:r>
            <w:r w:rsidR="0054684A" w:rsidRPr="00EA4AC0">
              <w:rPr>
                <w:rFonts w:cs="Times New Roman"/>
                <w:color w:val="000000"/>
                <w:sz w:val="20"/>
                <w:szCs w:val="20"/>
                <w:lang w:val="en-US"/>
              </w:rPr>
              <w:t>Employment multiplier (per million dollars)</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CC7EE8">
            <w:pPr>
              <w:spacing w:after="0"/>
              <w:jc w:val="right"/>
              <w:rPr>
                <w:rFonts w:cs="Times New Roman"/>
                <w:szCs w:val="22"/>
                <w:lang w:val="en-US"/>
              </w:rPr>
            </w:pPr>
            <w:r w:rsidRPr="00EA4AC0">
              <w:rPr>
                <w:rFonts w:cs="Times New Roman"/>
                <w:szCs w:val="22"/>
                <w:lang w:val="en-US"/>
              </w:rPr>
              <w:t>3</w:t>
            </w:r>
            <w:r w:rsidR="00CC7EE8">
              <w:rPr>
                <w:rFonts w:cs="Times New Roman"/>
                <w:szCs w:val="22"/>
                <w:lang w:val="en-US"/>
              </w:rPr>
              <w:t>1</w:t>
            </w:r>
            <w:r w:rsidRPr="00EA4AC0">
              <w:rPr>
                <w:rFonts w:cs="Times New Roman"/>
                <w:szCs w:val="22"/>
                <w:lang w:val="en-US"/>
              </w:rPr>
              <w:t>.</w:t>
            </w:r>
            <w:r w:rsidR="00CC7EE8">
              <w:rPr>
                <w:rFonts w:cs="Times New Roman"/>
                <w:szCs w:val="22"/>
                <w:lang w:val="en-US"/>
              </w:rPr>
              <w:t>00</w:t>
            </w:r>
          </w:p>
        </w:tc>
      </w:tr>
      <w:tr w:rsidR="00E81239"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E81239" w:rsidRPr="00EA4AC0" w:rsidRDefault="00E81239" w:rsidP="009129F2">
            <w:pPr>
              <w:spacing w:after="0"/>
              <w:rPr>
                <w:rFonts w:cs="Times New Roman"/>
                <w:color w:val="000000"/>
                <w:sz w:val="20"/>
                <w:szCs w:val="20"/>
                <w:lang w:val="en-US"/>
              </w:rPr>
            </w:pPr>
            <w:r>
              <w:rPr>
                <w:rFonts w:cs="Times New Roman"/>
                <w:color w:val="000000"/>
                <w:sz w:val="20"/>
                <w:szCs w:val="20"/>
                <w:lang w:val="en-US"/>
              </w:rPr>
              <w:t xml:space="preserve">Total </w:t>
            </w:r>
            <w:r w:rsidRPr="00EA4AC0">
              <w:rPr>
                <w:rFonts w:cs="Times New Roman"/>
                <w:color w:val="000000"/>
                <w:sz w:val="20"/>
                <w:szCs w:val="20"/>
                <w:lang w:val="en-US"/>
              </w:rPr>
              <w:t>Employment multiplier (per million dollars)</w:t>
            </w:r>
          </w:p>
        </w:tc>
        <w:tc>
          <w:tcPr>
            <w:tcW w:w="0" w:type="auto"/>
            <w:tcBorders>
              <w:top w:val="nil"/>
              <w:left w:val="nil"/>
              <w:bottom w:val="nil"/>
              <w:right w:val="single" w:sz="4" w:space="0" w:color="auto"/>
            </w:tcBorders>
            <w:shd w:val="clear" w:color="auto" w:fill="auto"/>
            <w:noWrap/>
            <w:vAlign w:val="bottom"/>
          </w:tcPr>
          <w:p w:rsidR="00E81239" w:rsidRPr="00EA4AC0" w:rsidRDefault="00E81239" w:rsidP="00AB5816">
            <w:pPr>
              <w:spacing w:after="0"/>
              <w:jc w:val="right"/>
              <w:rPr>
                <w:rFonts w:cs="Times New Roman"/>
                <w:szCs w:val="22"/>
                <w:lang w:val="en-US"/>
              </w:rPr>
            </w:pPr>
            <w:r w:rsidRPr="00EA4AC0">
              <w:rPr>
                <w:rFonts w:cs="Times New Roman"/>
                <w:szCs w:val="22"/>
                <w:lang w:val="en-US"/>
              </w:rPr>
              <w:t>3</w:t>
            </w:r>
            <w:r w:rsidR="00CC7EE8">
              <w:rPr>
                <w:rFonts w:cs="Times New Roman"/>
                <w:szCs w:val="22"/>
                <w:lang w:val="en-US"/>
              </w:rPr>
              <w:t>1</w:t>
            </w:r>
            <w:r w:rsidRPr="00EA4AC0">
              <w:rPr>
                <w:rFonts w:cs="Times New Roman"/>
                <w:szCs w:val="22"/>
                <w:lang w:val="en-US"/>
              </w:rPr>
              <w:t>.</w:t>
            </w:r>
            <w:r w:rsidR="00CC7EE8">
              <w:rPr>
                <w:rFonts w:cs="Times New Roman"/>
                <w:szCs w:val="22"/>
                <w:lang w:val="en-US"/>
              </w:rPr>
              <w:t>6</w:t>
            </w:r>
            <w:r w:rsidR="00AB5816">
              <w:rPr>
                <w:rFonts w:cs="Times New Roman"/>
                <w:szCs w:val="22"/>
                <w:lang w:val="en-US"/>
              </w:rPr>
              <w:t>4</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Ratio of total-to-direct employment</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E81239">
            <w:pPr>
              <w:spacing w:after="0"/>
              <w:jc w:val="right"/>
              <w:rPr>
                <w:rFonts w:cs="Times New Roman"/>
                <w:szCs w:val="22"/>
                <w:lang w:val="en-US"/>
              </w:rPr>
            </w:pPr>
            <w:r w:rsidRPr="00EA4AC0">
              <w:rPr>
                <w:rFonts w:cs="Times New Roman"/>
                <w:szCs w:val="22"/>
                <w:lang w:val="en-US"/>
              </w:rPr>
              <w:t>1.0</w:t>
            </w:r>
            <w:r w:rsidR="00E81239">
              <w:rPr>
                <w:rFonts w:cs="Times New Roman"/>
                <w:szCs w:val="22"/>
                <w:lang w:val="en-US"/>
              </w:rPr>
              <w:t>2</w:t>
            </w:r>
            <w:r w:rsidR="002D31C1">
              <w:rPr>
                <w:rFonts w:cs="Times New Roman"/>
                <w:szCs w:val="22"/>
                <w:lang w:val="en-US"/>
              </w:rPr>
              <w:t>0</w:t>
            </w:r>
          </w:p>
        </w:tc>
      </w:tr>
      <w:tr w:rsidR="0054684A" w:rsidRPr="00EA4AC0" w:rsidTr="0026444C">
        <w:trPr>
          <w:trHeight w:val="57"/>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285"/>
          <w:jc w:val="center"/>
        </w:trPr>
        <w:tc>
          <w:tcPr>
            <w:tcW w:w="0" w:type="auto"/>
            <w:tcBorders>
              <w:top w:val="nil"/>
              <w:left w:val="single" w:sz="4" w:space="0" w:color="auto"/>
              <w:bottom w:val="nil"/>
              <w:right w:val="nil"/>
            </w:tcBorders>
            <w:shd w:val="clear" w:color="auto" w:fill="auto"/>
            <w:noWrap/>
            <w:vAlign w:val="bottom"/>
          </w:tcPr>
          <w:p w:rsidR="0054684A" w:rsidRPr="00EA4AC0" w:rsidRDefault="0054684A" w:rsidP="009129F2">
            <w:pPr>
              <w:spacing w:after="0"/>
              <w:rPr>
                <w:rFonts w:cs="Times New Roman"/>
                <w:b/>
                <w:bCs/>
                <w:color w:val="000000"/>
                <w:sz w:val="20"/>
                <w:szCs w:val="20"/>
                <w:lang w:val="en-US"/>
              </w:rPr>
            </w:pPr>
            <w:r w:rsidRPr="00EA4AC0">
              <w:rPr>
                <w:rFonts w:cs="Times New Roman"/>
                <w:b/>
                <w:bCs/>
                <w:color w:val="000000"/>
                <w:sz w:val="20"/>
                <w:szCs w:val="20"/>
                <w:lang w:val="en-US"/>
              </w:rPr>
              <w:t xml:space="preserve">Gross output </w:t>
            </w:r>
            <w:r w:rsidRPr="00EA4AC0">
              <w:rPr>
                <w:rFonts w:cs="Times New Roman"/>
                <w:color w:val="000000"/>
                <w:sz w:val="20"/>
                <w:szCs w:val="20"/>
                <w:lang w:val="en-US"/>
              </w:rPr>
              <w:t>(thousands $)</w:t>
            </w:r>
          </w:p>
        </w:tc>
        <w:tc>
          <w:tcPr>
            <w:tcW w:w="0" w:type="auto"/>
            <w:tcBorders>
              <w:top w:val="nil"/>
              <w:left w:val="nil"/>
              <w:bottom w:val="nil"/>
              <w:right w:val="single" w:sz="4" w:space="0" w:color="auto"/>
            </w:tcBorders>
            <w:shd w:val="clear" w:color="auto" w:fill="auto"/>
            <w:noWrap/>
            <w:vAlign w:val="bottom"/>
          </w:tcPr>
          <w:p w:rsidR="0054684A" w:rsidRPr="00EA4AC0" w:rsidRDefault="0054684A" w:rsidP="009129F2">
            <w:pPr>
              <w:spacing w:after="0"/>
              <w:jc w:val="right"/>
              <w:rPr>
                <w:rFonts w:cs="Times New Roman"/>
                <w:szCs w:val="22"/>
                <w:lang w:val="en-US"/>
              </w:rPr>
            </w:pPr>
            <w:r w:rsidRPr="00EA4AC0">
              <w:rPr>
                <w:rFonts w:cs="Times New Roman"/>
                <w:szCs w:val="22"/>
                <w:lang w:val="en-US"/>
              </w:rPr>
              <w:t> </w:t>
            </w:r>
          </w:p>
        </w:tc>
      </w:tr>
      <w:tr w:rsidR="0054684A" w:rsidRPr="00EA4AC0" w:rsidTr="005E2FD4">
        <w:trPr>
          <w:trHeight w:val="300"/>
          <w:jc w:val="center"/>
        </w:trPr>
        <w:tc>
          <w:tcPr>
            <w:tcW w:w="0" w:type="auto"/>
            <w:tcBorders>
              <w:top w:val="nil"/>
              <w:left w:val="single" w:sz="4" w:space="0" w:color="auto"/>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lastRenderedPageBreak/>
              <w:t>Gross output multiplier</w:t>
            </w:r>
          </w:p>
        </w:tc>
        <w:tc>
          <w:tcPr>
            <w:tcW w:w="0" w:type="auto"/>
            <w:tcBorders>
              <w:top w:val="nil"/>
              <w:left w:val="nil"/>
              <w:right w:val="single" w:sz="4" w:space="0" w:color="auto"/>
            </w:tcBorders>
            <w:shd w:val="clear" w:color="auto" w:fill="auto"/>
            <w:noWrap/>
            <w:vAlign w:val="bottom"/>
          </w:tcPr>
          <w:p w:rsidR="0054684A" w:rsidRPr="00EA4AC0" w:rsidRDefault="0054684A" w:rsidP="00916985">
            <w:pPr>
              <w:spacing w:after="0"/>
              <w:jc w:val="right"/>
              <w:rPr>
                <w:rFonts w:cs="Times New Roman"/>
                <w:szCs w:val="22"/>
                <w:lang w:val="en-US"/>
              </w:rPr>
            </w:pPr>
            <w:r w:rsidRPr="00EA4AC0">
              <w:rPr>
                <w:rFonts w:cs="Times New Roman"/>
                <w:szCs w:val="22"/>
                <w:lang w:val="en-US"/>
              </w:rPr>
              <w:t>1.</w:t>
            </w:r>
            <w:r w:rsidR="00916985">
              <w:rPr>
                <w:rFonts w:cs="Times New Roman"/>
                <w:szCs w:val="22"/>
                <w:lang w:val="en-US"/>
              </w:rPr>
              <w:t>08</w:t>
            </w:r>
            <w:r w:rsidR="00E81239">
              <w:rPr>
                <w:rFonts w:cs="Times New Roman"/>
                <w:szCs w:val="22"/>
                <w:lang w:val="en-US"/>
              </w:rPr>
              <w:t>2</w:t>
            </w:r>
          </w:p>
        </w:tc>
      </w:tr>
      <w:tr w:rsidR="0054684A" w:rsidRPr="00EA4AC0" w:rsidTr="005E2FD4">
        <w:trPr>
          <w:trHeight w:val="255"/>
          <w:jc w:val="center"/>
        </w:trPr>
        <w:tc>
          <w:tcPr>
            <w:tcW w:w="0" w:type="auto"/>
            <w:tcBorders>
              <w:top w:val="nil"/>
              <w:left w:val="single" w:sz="4" w:space="0" w:color="auto"/>
              <w:bottom w:val="single" w:sz="4" w:space="0" w:color="auto"/>
              <w:right w:val="nil"/>
            </w:tcBorders>
            <w:shd w:val="clear" w:color="auto" w:fill="auto"/>
            <w:noWrap/>
            <w:vAlign w:val="bottom"/>
          </w:tcPr>
          <w:p w:rsidR="0054684A" w:rsidRPr="00EA4AC0" w:rsidRDefault="0054684A" w:rsidP="009129F2">
            <w:pPr>
              <w:spacing w:after="0"/>
              <w:rPr>
                <w:rFonts w:cs="Times New Roman"/>
                <w:color w:val="000000"/>
                <w:sz w:val="20"/>
                <w:szCs w:val="20"/>
                <w:lang w:val="en-US"/>
              </w:rPr>
            </w:pPr>
            <w:r w:rsidRPr="00EA4AC0">
              <w:rPr>
                <w:rFonts w:cs="Times New Roman"/>
                <w:color w:val="000000"/>
                <w:sz w:val="20"/>
                <w:szCs w:val="20"/>
                <w:lang w:val="en-US"/>
              </w:rPr>
              <w:t>Ratio of total-to-direct gross output</w:t>
            </w:r>
          </w:p>
        </w:tc>
        <w:tc>
          <w:tcPr>
            <w:tcW w:w="0" w:type="auto"/>
            <w:tcBorders>
              <w:top w:val="nil"/>
              <w:left w:val="nil"/>
              <w:bottom w:val="single" w:sz="4" w:space="0" w:color="auto"/>
              <w:right w:val="single" w:sz="4" w:space="0" w:color="auto"/>
            </w:tcBorders>
            <w:shd w:val="clear" w:color="auto" w:fill="auto"/>
            <w:noWrap/>
            <w:vAlign w:val="bottom"/>
          </w:tcPr>
          <w:p w:rsidR="0054684A" w:rsidRPr="00EA4AC0" w:rsidRDefault="0054684A" w:rsidP="00916985">
            <w:pPr>
              <w:spacing w:after="0"/>
              <w:jc w:val="right"/>
              <w:rPr>
                <w:rFonts w:cs="Times New Roman"/>
                <w:szCs w:val="22"/>
                <w:lang w:val="en-US"/>
              </w:rPr>
            </w:pPr>
            <w:r w:rsidRPr="00EA4AC0">
              <w:rPr>
                <w:rFonts w:cs="Times New Roman"/>
                <w:szCs w:val="22"/>
                <w:lang w:val="en-US"/>
              </w:rPr>
              <w:t>1.</w:t>
            </w:r>
            <w:r w:rsidR="00916985">
              <w:rPr>
                <w:rFonts w:cs="Times New Roman"/>
                <w:szCs w:val="22"/>
                <w:lang w:val="en-US"/>
              </w:rPr>
              <w:t>08</w:t>
            </w:r>
            <w:r w:rsidR="00E81239">
              <w:rPr>
                <w:rFonts w:cs="Times New Roman"/>
                <w:szCs w:val="22"/>
                <w:lang w:val="en-US"/>
              </w:rPr>
              <w:t>2</w:t>
            </w:r>
          </w:p>
        </w:tc>
      </w:tr>
      <w:tr w:rsidR="00916985" w:rsidRPr="00EA4AC0" w:rsidTr="005E2FD4">
        <w:trPr>
          <w:trHeight w:val="25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E2FD4" w:rsidRPr="00B30846" w:rsidRDefault="00916985" w:rsidP="00916985">
            <w:pPr>
              <w:spacing w:after="0"/>
              <w:rPr>
                <w:rFonts w:cs="Times New Roman"/>
                <w:color w:val="000000"/>
                <w:sz w:val="18"/>
                <w:szCs w:val="18"/>
                <w:lang w:val="en-US"/>
              </w:rPr>
            </w:pPr>
            <w:r w:rsidRPr="00EA4AC0">
              <w:rPr>
                <w:rFonts w:cs="Times New Roman"/>
                <w:color w:val="000000"/>
                <w:sz w:val="18"/>
                <w:szCs w:val="18"/>
                <w:lang w:val="en-US"/>
              </w:rPr>
              <w:t>Source: Statistics Canada Custom Simulation</w:t>
            </w:r>
            <w:r w:rsidR="00C53E19">
              <w:rPr>
                <w:rFonts w:cs="Times New Roman"/>
                <w:color w:val="000000"/>
                <w:sz w:val="18"/>
                <w:szCs w:val="18"/>
                <w:lang w:val="en-US"/>
              </w:rPr>
              <w:t xml:space="preserve"> &amp; c</w:t>
            </w:r>
            <w:r>
              <w:rPr>
                <w:rFonts w:cs="Times New Roman"/>
                <w:color w:val="000000"/>
                <w:sz w:val="18"/>
                <w:szCs w:val="18"/>
                <w:lang w:val="en-US"/>
              </w:rPr>
              <w:t>alculations by author</w:t>
            </w:r>
            <w:r w:rsidRPr="00EA4AC0">
              <w:rPr>
                <w:rFonts w:cs="Times New Roman"/>
                <w:color w:val="000000"/>
                <w:sz w:val="18"/>
                <w:szCs w:val="18"/>
                <w:lang w:val="en-US"/>
              </w:rPr>
              <w:t>.</w:t>
            </w:r>
          </w:p>
        </w:tc>
      </w:tr>
    </w:tbl>
    <w:p w:rsidR="00A126AF" w:rsidRDefault="005936FD" w:rsidP="00241E85">
      <w:pPr>
        <w:spacing w:before="240"/>
      </w:pPr>
      <w:r>
        <w:t>T</w:t>
      </w:r>
      <w:r w:rsidR="002757A5" w:rsidRPr="00EA4AC0">
        <w:t xml:space="preserve">he </w:t>
      </w:r>
      <w:r w:rsidR="002757A5">
        <w:t xml:space="preserve">above GDP multiplier </w:t>
      </w:r>
      <w:r w:rsidR="002757A5" w:rsidRPr="00EA4AC0">
        <w:t xml:space="preserve">results from the input-output simulation for the </w:t>
      </w:r>
      <w:r w:rsidR="002757A5">
        <w:t>ELC</w:t>
      </w:r>
      <w:r w:rsidR="002757A5" w:rsidRPr="00EA4AC0">
        <w:t xml:space="preserve"> sector </w:t>
      </w:r>
      <w:r w:rsidR="002757A5">
        <w:t xml:space="preserve">are compared with GDP multipliers for the major industry groups for </w:t>
      </w:r>
      <w:r w:rsidR="00E82023">
        <w:t>Nova Scotia for 2006</w:t>
      </w:r>
      <w:r>
        <w:t xml:space="preserve"> in Table </w:t>
      </w:r>
      <w:r w:rsidR="004E27DB">
        <w:t>4</w:t>
      </w:r>
      <w:r>
        <w:t>.2</w:t>
      </w:r>
      <w:r w:rsidR="00A126AF" w:rsidRPr="00EA4AC0">
        <w:t>. Statistics Canada’s estimate</w:t>
      </w:r>
      <w:r w:rsidR="00E82023">
        <w:t>s show</w:t>
      </w:r>
      <w:r w:rsidR="00A126AF" w:rsidRPr="00EA4AC0">
        <w:t xml:space="preserve"> that the total direct and indirect impact on </w:t>
      </w:r>
      <w:r w:rsidR="00241E85">
        <w:t xml:space="preserve">Nova Scotia’s </w:t>
      </w:r>
      <w:r w:rsidR="00E82023">
        <w:t>GDP</w:t>
      </w:r>
      <w:r w:rsidR="00A126AF" w:rsidRPr="00EA4AC0">
        <w:t xml:space="preserve"> is $</w:t>
      </w:r>
      <w:r w:rsidR="00E82023">
        <w:t>0</w:t>
      </w:r>
      <w:r w:rsidR="00A126AF" w:rsidRPr="00EA4AC0">
        <w:t>.</w:t>
      </w:r>
      <w:r w:rsidR="00E82023">
        <w:t>9</w:t>
      </w:r>
      <w:r w:rsidR="00A126AF" w:rsidRPr="00EA4AC0">
        <w:t xml:space="preserve">5 per dollar increase in </w:t>
      </w:r>
      <w:r w:rsidR="00E82023">
        <w:t>ELC</w:t>
      </w:r>
      <w:r w:rsidR="00A126AF" w:rsidRPr="00EA4AC0">
        <w:t xml:space="preserve"> </w:t>
      </w:r>
      <w:r w:rsidR="00E82023">
        <w:t>spending</w:t>
      </w:r>
      <w:r w:rsidR="00A126AF" w:rsidRPr="00EA4AC0">
        <w:t xml:space="preserve">, which is </w:t>
      </w:r>
      <w:r w:rsidR="00E82023">
        <w:t xml:space="preserve">the </w:t>
      </w:r>
      <w:r w:rsidR="00A126AF" w:rsidRPr="00EA4AC0">
        <w:t>hig</w:t>
      </w:r>
      <w:r w:rsidR="002757A5">
        <w:t>hest of all the major industries</w:t>
      </w:r>
      <w:r w:rsidR="00A126AF" w:rsidRPr="00EA4AC0">
        <w:t>.</w:t>
      </w:r>
      <w:r w:rsidR="002757A5">
        <w:t xml:space="preserve"> </w:t>
      </w:r>
      <w:r w:rsidR="00046FBA">
        <w:t xml:space="preserve">This means that a dollar invested in the ELC sector has a larger </w:t>
      </w:r>
      <w:r w:rsidR="00DA60CB">
        <w:t xml:space="preserve">direct and indirect </w:t>
      </w:r>
      <w:r w:rsidR="00046FBA">
        <w:t xml:space="preserve">impact on the economy than a dollar used to support any of these other major sectors. For example, a dollar invested in ELC will boost Nova Scotia’s GDP via the direct and indirect effects by </w:t>
      </w:r>
      <w:r w:rsidR="00241E85">
        <w:t xml:space="preserve">6% </w:t>
      </w:r>
      <w:r w:rsidR="00046FBA">
        <w:t>more</w:t>
      </w:r>
      <w:r w:rsidR="00241E85">
        <w:t xml:space="preserve"> tha</w:t>
      </w:r>
      <w:r w:rsidR="00046FBA">
        <w:t>n the next closest major sector—finance</w:t>
      </w:r>
      <w:r w:rsidR="00AE7866">
        <w:t xml:space="preserve"> (0.952/0.898)</w:t>
      </w:r>
      <w:r w:rsidR="00046FBA">
        <w:t xml:space="preserve">. </w:t>
      </w:r>
      <w:r w:rsidR="003E71F0">
        <w:t>The difference in the impact on provincial GDP is even larger compared with other sector</w:t>
      </w:r>
      <w:r>
        <w:t xml:space="preserve">s, such as </w:t>
      </w:r>
      <w:r w:rsidR="003E71F0">
        <w:t xml:space="preserve">construction and manufacturing. The </w:t>
      </w:r>
      <w:r>
        <w:t xml:space="preserve">impact of the ELC sector </w:t>
      </w:r>
      <w:r w:rsidR="003E71F0">
        <w:t>on Nova Scotia’s GDP</w:t>
      </w:r>
      <w:r w:rsidR="00241E85">
        <w:t xml:space="preserve"> </w:t>
      </w:r>
      <w:r w:rsidR="003E71F0">
        <w:t xml:space="preserve">is 67% </w:t>
      </w:r>
      <w:r>
        <w:t>larger than that provided by the</w:t>
      </w:r>
      <w:r w:rsidR="003E71F0">
        <w:t xml:space="preserve"> construction </w:t>
      </w:r>
      <w:r>
        <w:t xml:space="preserve">sector </w:t>
      </w:r>
      <w:r w:rsidR="003E71F0">
        <w:t xml:space="preserve">and 112% </w:t>
      </w:r>
      <w:r>
        <w:t>larger than the boost via the</w:t>
      </w:r>
      <w:r w:rsidR="003E71F0">
        <w:t xml:space="preserve"> manufacturing</w:t>
      </w:r>
      <w:r>
        <w:t xml:space="preserve"> sector</w:t>
      </w:r>
      <w:r w:rsidR="003E71F0">
        <w:t xml:space="preserve">. </w:t>
      </w:r>
    </w:p>
    <w:p w:rsidR="00D22317" w:rsidRDefault="00D22317" w:rsidP="00D22317">
      <w:r w:rsidRPr="00EA4AC0">
        <w:t xml:space="preserve">Not only is the GDP multiplier for the </w:t>
      </w:r>
      <w:r>
        <w:t>ELC</w:t>
      </w:r>
      <w:r w:rsidRPr="00EA4AC0">
        <w:t xml:space="preserve"> sector the </w:t>
      </w:r>
      <w:r w:rsidR="005936FD">
        <w:t>larg</w:t>
      </w:r>
      <w:r w:rsidRPr="00EA4AC0">
        <w:t xml:space="preserve">est of all </w:t>
      </w:r>
      <w:r w:rsidR="00046FBA">
        <w:t>major industry sectors</w:t>
      </w:r>
      <w:r w:rsidRPr="00EA4AC0">
        <w:t xml:space="preserve">, but </w:t>
      </w:r>
      <w:r w:rsidR="00FE53AE">
        <w:t>the</w:t>
      </w:r>
      <w:r>
        <w:t xml:space="preserve"> </w:t>
      </w:r>
      <w:r w:rsidR="00FE53AE">
        <w:t xml:space="preserve">total </w:t>
      </w:r>
      <w:r>
        <w:t>employment multiplier</w:t>
      </w:r>
      <w:r w:rsidRPr="00EA4AC0">
        <w:t xml:space="preserve"> from Table </w:t>
      </w:r>
      <w:r w:rsidR="004E27DB">
        <w:t>4</w:t>
      </w:r>
      <w:r w:rsidRPr="00EA4AC0">
        <w:t xml:space="preserve">.1 </w:t>
      </w:r>
      <w:r w:rsidR="00FE53AE">
        <w:t xml:space="preserve">compared </w:t>
      </w:r>
      <w:r w:rsidRPr="00EA4AC0">
        <w:t xml:space="preserve">with employment multipliers for </w:t>
      </w:r>
      <w:r w:rsidR="00FE53AE">
        <w:t xml:space="preserve">other </w:t>
      </w:r>
      <w:r w:rsidRPr="00EA4AC0">
        <w:t xml:space="preserve">major industries illustrates that per dollar, the </w:t>
      </w:r>
      <w:r>
        <w:t>ELC</w:t>
      </w:r>
      <w:r w:rsidRPr="00EA4AC0">
        <w:t xml:space="preserve"> sector </w:t>
      </w:r>
      <w:r w:rsidR="00046FBA">
        <w:t>creates more jobs than any of</w:t>
      </w:r>
      <w:r w:rsidRPr="00EA4AC0">
        <w:t xml:space="preserve"> thes</w:t>
      </w:r>
      <w:r w:rsidR="005E2FD4">
        <w:t xml:space="preserve">e industries (see Table </w:t>
      </w:r>
      <w:r w:rsidR="00337B26">
        <w:t>4</w:t>
      </w:r>
      <w:r w:rsidR="005E2FD4">
        <w:t xml:space="preserve">.2). The </w:t>
      </w:r>
      <w:r w:rsidRPr="00EA4AC0">
        <w:t xml:space="preserve">employment multiplier for the </w:t>
      </w:r>
      <w:r>
        <w:t>ELC</w:t>
      </w:r>
      <w:r w:rsidRPr="00EA4AC0">
        <w:t xml:space="preserve"> sector is </w:t>
      </w:r>
      <w:r w:rsidR="005E2FD4">
        <w:t xml:space="preserve">an estimated </w:t>
      </w:r>
      <w:r w:rsidRPr="00EA4AC0">
        <w:t>3</w:t>
      </w:r>
      <w:r>
        <w:t>1.6</w:t>
      </w:r>
      <w:r w:rsidRPr="00EA4AC0">
        <w:t xml:space="preserve"> jobs </w:t>
      </w:r>
      <w:r>
        <w:t xml:space="preserve">within Nova Scotia </w:t>
      </w:r>
      <w:r w:rsidRPr="00EA4AC0">
        <w:t>per million dollars compared to 2</w:t>
      </w:r>
      <w:r w:rsidR="005936FD">
        <w:t>9.0</w:t>
      </w:r>
      <w:r w:rsidRPr="00EA4AC0">
        <w:t xml:space="preserve"> jobs </w:t>
      </w:r>
      <w:r w:rsidR="00046FBA">
        <w:t xml:space="preserve">in Nova Scotia </w:t>
      </w:r>
      <w:r w:rsidRPr="00EA4AC0">
        <w:t xml:space="preserve">for the next closest industry, </w:t>
      </w:r>
      <w:r w:rsidR="005E2FD4">
        <w:t>education</w:t>
      </w:r>
      <w:r w:rsidRPr="00EA4AC0">
        <w:t xml:space="preserve">, which is a difference of </w:t>
      </w:r>
      <w:r w:rsidR="005936FD">
        <w:t>9</w:t>
      </w:r>
      <w:r w:rsidRPr="00EA4AC0">
        <w:t>%</w:t>
      </w:r>
      <w:r w:rsidR="00AE7866">
        <w:t xml:space="preserve"> (31.6/2</w:t>
      </w:r>
      <w:r w:rsidR="005936FD">
        <w:t>9.0</w:t>
      </w:r>
      <w:r w:rsidR="00AE7866">
        <w:t>)</w:t>
      </w:r>
      <w:r w:rsidRPr="00EA4AC0">
        <w:t>.</w:t>
      </w:r>
      <w:r w:rsidR="00046FBA">
        <w:t xml:space="preserve"> Notably, the gap </w:t>
      </w:r>
      <w:r w:rsidR="005936FD">
        <w:t>is much larger compared with</w:t>
      </w:r>
      <w:r w:rsidR="00046FBA">
        <w:t xml:space="preserve"> </w:t>
      </w:r>
      <w:r w:rsidR="00AE7866">
        <w:t xml:space="preserve">many </w:t>
      </w:r>
      <w:r w:rsidR="00046FBA">
        <w:t xml:space="preserve">other industries. </w:t>
      </w:r>
      <w:r w:rsidR="00AE7866">
        <w:t xml:space="preserve">For example, </w:t>
      </w:r>
      <w:r w:rsidR="005E2FD4">
        <w:t>c</w:t>
      </w:r>
      <w:r w:rsidR="00AE7866">
        <w:t xml:space="preserve">onstruction creates 9.9 jobs per million dollars </w:t>
      </w:r>
      <w:r w:rsidR="005E2FD4">
        <w:t>a</w:t>
      </w:r>
      <w:r w:rsidR="00AE7866">
        <w:t>nd manufacturing creates 7.7 jobs per million dollars</w:t>
      </w:r>
      <w:r w:rsidR="00A16A66">
        <w:t xml:space="preserve">. This means that provincial job creation is </w:t>
      </w:r>
      <w:r w:rsidR="00DA60CB">
        <w:t xml:space="preserve">respectively </w:t>
      </w:r>
      <w:r w:rsidR="00A16A66">
        <w:t>220% and 330% higher in the ELC sector than for these other sectors.</w:t>
      </w:r>
    </w:p>
    <w:p w:rsidR="00251C93" w:rsidRDefault="00FE53AE" w:rsidP="00D22317">
      <w:r>
        <w:t>Not all of the</w:t>
      </w:r>
      <w:r w:rsidR="00251C93">
        <w:t xml:space="preserve"> jobs that are created are full-time jobs. Using Statistics Canada’s estimates, it can be calculated that 2</w:t>
      </w:r>
      <w:r w:rsidR="00DA60CB">
        <w:t>5</w:t>
      </w:r>
      <w:r w:rsidR="00251C93">
        <w:t>.</w:t>
      </w:r>
      <w:r w:rsidR="00DA60CB">
        <w:t>5</w:t>
      </w:r>
      <w:r w:rsidR="00251C93">
        <w:t xml:space="preserve"> </w:t>
      </w:r>
      <w:r w:rsidR="009B14E9">
        <w:t>full-time equivalent (</w:t>
      </w:r>
      <w:r w:rsidR="00251C93">
        <w:t>FTE</w:t>
      </w:r>
      <w:r w:rsidR="009B14E9">
        <w:t>)</w:t>
      </w:r>
      <w:r w:rsidR="00251C93">
        <w:t xml:space="preserve"> jobs are created per million dollars of expenditure</w:t>
      </w:r>
      <w:r w:rsidR="00DA60CB">
        <w:t xml:space="preserve"> via the direct </w:t>
      </w:r>
      <w:r w:rsidR="009B14E9">
        <w:t xml:space="preserve">(24.5 FTE) </w:t>
      </w:r>
      <w:r w:rsidR="00DA60CB">
        <w:t xml:space="preserve">and indirect </w:t>
      </w:r>
      <w:r w:rsidR="009B14E9">
        <w:t xml:space="preserve">(1.0 FTE) </w:t>
      </w:r>
      <w:r w:rsidR="00DA60CB">
        <w:t>effects</w:t>
      </w:r>
      <w:r w:rsidR="00251C93">
        <w:t>. This compares with 23.7 FTE jobs created in education, a 23.1 FTE jobs in other services and 9.7 FTE jobs in construction.</w:t>
      </w:r>
    </w:p>
    <w:tbl>
      <w:tblPr>
        <w:tblW w:w="0" w:type="auto"/>
        <w:jc w:val="center"/>
        <w:tblLook w:val="04A0"/>
      </w:tblPr>
      <w:tblGrid>
        <w:gridCol w:w="4315"/>
        <w:gridCol w:w="860"/>
        <w:gridCol w:w="2080"/>
      </w:tblGrid>
      <w:tr w:rsidR="005936FD" w:rsidRPr="005936FD" w:rsidTr="0026444C">
        <w:trPr>
          <w:trHeight w:val="283"/>
          <w:jc w:val="center"/>
        </w:trPr>
        <w:tc>
          <w:tcPr>
            <w:tcW w:w="0" w:type="auto"/>
            <w:gridSpan w:val="3"/>
            <w:tcBorders>
              <w:top w:val="single" w:sz="8" w:space="0" w:color="auto"/>
              <w:left w:val="single" w:sz="8" w:space="0" w:color="auto"/>
              <w:bottom w:val="nil"/>
              <w:right w:val="single" w:sz="8" w:space="0" w:color="000000"/>
            </w:tcBorders>
            <w:shd w:val="clear" w:color="000000" w:fill="FFFF99"/>
            <w:noWrap/>
            <w:vAlign w:val="bottom"/>
            <w:hideMark/>
          </w:tcPr>
          <w:p w:rsidR="005936FD" w:rsidRPr="005936FD" w:rsidRDefault="005936FD" w:rsidP="004E27DB">
            <w:pPr>
              <w:spacing w:after="0"/>
              <w:jc w:val="center"/>
              <w:rPr>
                <w:rFonts w:cs="Times New Roman"/>
                <w:b/>
                <w:bCs/>
                <w:color w:val="000000"/>
                <w:sz w:val="24"/>
                <w:lang w:eastAsia="en-CA"/>
              </w:rPr>
            </w:pPr>
            <w:r w:rsidRPr="005936FD">
              <w:rPr>
                <w:rFonts w:cs="Times New Roman"/>
                <w:b/>
                <w:bCs/>
                <w:color w:val="000000"/>
                <w:sz w:val="24"/>
                <w:lang w:eastAsia="en-CA"/>
              </w:rPr>
              <w:t xml:space="preserve">Table </w:t>
            </w:r>
            <w:r w:rsidR="004E27DB">
              <w:rPr>
                <w:rFonts w:cs="Times New Roman"/>
                <w:b/>
                <w:bCs/>
                <w:color w:val="000000"/>
                <w:sz w:val="24"/>
                <w:lang w:eastAsia="en-CA"/>
              </w:rPr>
              <w:t>4</w:t>
            </w:r>
            <w:r w:rsidRPr="005936FD">
              <w:rPr>
                <w:rFonts w:cs="Times New Roman"/>
                <w:b/>
                <w:bCs/>
                <w:color w:val="000000"/>
                <w:sz w:val="24"/>
                <w:lang w:eastAsia="en-CA"/>
              </w:rPr>
              <w:t xml:space="preserve">.2: </w:t>
            </w:r>
            <w:r w:rsidR="0026444C">
              <w:rPr>
                <w:rFonts w:cs="Times New Roman"/>
                <w:b/>
                <w:bCs/>
                <w:color w:val="000000"/>
                <w:sz w:val="24"/>
                <w:lang w:eastAsia="en-CA"/>
              </w:rPr>
              <w:t xml:space="preserve">Combined Direct and Indirect </w:t>
            </w:r>
            <w:r w:rsidRPr="005936FD">
              <w:rPr>
                <w:rFonts w:cs="Times New Roman"/>
                <w:b/>
                <w:bCs/>
                <w:color w:val="000000"/>
                <w:sz w:val="24"/>
                <w:lang w:eastAsia="en-CA"/>
              </w:rPr>
              <w:t>Industry Multipliers</w:t>
            </w:r>
          </w:p>
        </w:tc>
      </w:tr>
      <w:tr w:rsidR="005936FD" w:rsidRPr="005936FD" w:rsidTr="0026444C">
        <w:trPr>
          <w:trHeight w:val="170"/>
          <w:jc w:val="center"/>
        </w:trPr>
        <w:tc>
          <w:tcPr>
            <w:tcW w:w="0" w:type="auto"/>
            <w:tcBorders>
              <w:top w:val="nil"/>
              <w:left w:val="single" w:sz="8" w:space="0" w:color="auto"/>
              <w:bottom w:val="single" w:sz="8" w:space="0" w:color="auto"/>
              <w:right w:val="nil"/>
            </w:tcBorders>
            <w:shd w:val="clear" w:color="000000" w:fill="FFFF99"/>
            <w:noWrap/>
            <w:vAlign w:val="bottom"/>
            <w:hideMark/>
          </w:tcPr>
          <w:p w:rsidR="005936FD" w:rsidRPr="005936FD" w:rsidRDefault="005936FD" w:rsidP="005936FD">
            <w:pPr>
              <w:spacing w:after="0"/>
              <w:rPr>
                <w:rFonts w:ascii="Arial" w:hAnsi="Arial"/>
                <w:sz w:val="20"/>
                <w:szCs w:val="20"/>
                <w:lang w:eastAsia="en-CA"/>
              </w:rPr>
            </w:pPr>
            <w:r w:rsidRPr="005936FD">
              <w:rPr>
                <w:rFonts w:ascii="Arial" w:hAnsi="Arial"/>
                <w:sz w:val="20"/>
                <w:szCs w:val="20"/>
                <w:lang w:eastAsia="en-CA"/>
              </w:rPr>
              <w:t> </w:t>
            </w:r>
          </w:p>
        </w:tc>
        <w:tc>
          <w:tcPr>
            <w:tcW w:w="0" w:type="auto"/>
            <w:tcBorders>
              <w:top w:val="nil"/>
              <w:left w:val="nil"/>
              <w:bottom w:val="single" w:sz="8" w:space="0" w:color="auto"/>
              <w:right w:val="nil"/>
            </w:tcBorders>
            <w:shd w:val="clear" w:color="000000" w:fill="FFFF99"/>
            <w:noWrap/>
            <w:vAlign w:val="bottom"/>
            <w:hideMark/>
          </w:tcPr>
          <w:p w:rsidR="00C7027E" w:rsidRDefault="005936FD" w:rsidP="005936FD">
            <w:pPr>
              <w:spacing w:after="0"/>
              <w:rPr>
                <w:rFonts w:cs="Times New Roman"/>
                <w:sz w:val="20"/>
                <w:szCs w:val="20"/>
                <w:lang w:eastAsia="en-CA"/>
              </w:rPr>
            </w:pPr>
            <w:r w:rsidRPr="00C7027E">
              <w:rPr>
                <w:rFonts w:cs="Times New Roman"/>
                <w:sz w:val="20"/>
                <w:szCs w:val="20"/>
                <w:lang w:eastAsia="en-CA"/>
              </w:rPr>
              <w:t xml:space="preserve">GDP </w:t>
            </w:r>
          </w:p>
          <w:p w:rsidR="005936FD" w:rsidRPr="00C7027E" w:rsidRDefault="005936FD" w:rsidP="005936FD">
            <w:pPr>
              <w:spacing w:after="0"/>
              <w:rPr>
                <w:rFonts w:cs="Times New Roman"/>
                <w:sz w:val="20"/>
                <w:szCs w:val="20"/>
                <w:lang w:eastAsia="en-CA"/>
              </w:rPr>
            </w:pPr>
            <w:r w:rsidRPr="00C7027E">
              <w:rPr>
                <w:rFonts w:cs="Times New Roman"/>
                <w:sz w:val="20"/>
                <w:szCs w:val="20"/>
                <w:lang w:eastAsia="en-CA"/>
              </w:rPr>
              <w:t>(per $)</w:t>
            </w:r>
          </w:p>
        </w:tc>
        <w:tc>
          <w:tcPr>
            <w:tcW w:w="0" w:type="auto"/>
            <w:tcBorders>
              <w:top w:val="nil"/>
              <w:left w:val="nil"/>
              <w:bottom w:val="single" w:sz="8" w:space="0" w:color="auto"/>
              <w:right w:val="single" w:sz="8" w:space="0" w:color="auto"/>
            </w:tcBorders>
            <w:shd w:val="clear" w:color="000000" w:fill="FFFF99"/>
            <w:noWrap/>
            <w:vAlign w:val="bottom"/>
            <w:hideMark/>
          </w:tcPr>
          <w:p w:rsidR="00C7027E" w:rsidRDefault="005936FD" w:rsidP="005936FD">
            <w:pPr>
              <w:spacing w:after="0"/>
              <w:rPr>
                <w:rFonts w:cs="Times New Roman"/>
                <w:sz w:val="20"/>
                <w:szCs w:val="20"/>
                <w:lang w:eastAsia="en-CA"/>
              </w:rPr>
            </w:pPr>
            <w:r w:rsidRPr="00C7027E">
              <w:rPr>
                <w:rFonts w:cs="Times New Roman"/>
                <w:sz w:val="20"/>
                <w:szCs w:val="20"/>
                <w:lang w:eastAsia="en-CA"/>
              </w:rPr>
              <w:t xml:space="preserve">Employment </w:t>
            </w:r>
          </w:p>
          <w:p w:rsidR="005936FD" w:rsidRPr="00C7027E" w:rsidRDefault="005936FD" w:rsidP="005936FD">
            <w:pPr>
              <w:spacing w:after="0"/>
              <w:rPr>
                <w:rFonts w:cs="Times New Roman"/>
                <w:sz w:val="20"/>
                <w:szCs w:val="20"/>
                <w:lang w:eastAsia="en-CA"/>
              </w:rPr>
            </w:pPr>
            <w:r w:rsidRPr="00C7027E">
              <w:rPr>
                <w:rFonts w:cs="Times New Roman"/>
                <w:sz w:val="20"/>
                <w:szCs w:val="20"/>
                <w:lang w:eastAsia="en-CA"/>
              </w:rPr>
              <w:t>(per million dollars)</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b/>
                <w:bCs/>
                <w:color w:val="000000"/>
                <w:sz w:val="20"/>
                <w:szCs w:val="20"/>
                <w:lang w:eastAsia="en-CA"/>
              </w:rPr>
            </w:pPr>
            <w:r w:rsidRPr="005936FD">
              <w:rPr>
                <w:rFonts w:cs="Times New Roman"/>
                <w:b/>
                <w:bCs/>
                <w:color w:val="000000"/>
                <w:sz w:val="20"/>
                <w:szCs w:val="20"/>
                <w:lang w:eastAsia="en-CA"/>
              </w:rPr>
              <w:t>Child care outside the home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0.952</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31.6</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color w:val="000000"/>
                <w:sz w:val="20"/>
                <w:szCs w:val="20"/>
                <w:lang w:eastAsia="en-CA"/>
              </w:rPr>
            </w:pPr>
            <w:r w:rsidRPr="005936FD">
              <w:rPr>
                <w:rFonts w:cs="Times New Roman"/>
                <w:color w:val="000000"/>
                <w:sz w:val="20"/>
                <w:szCs w:val="20"/>
                <w:lang w:eastAsia="en-CA"/>
              </w:rPr>
              <w:t>Finance, insurance &amp; real estate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0.898</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4.2</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Mining, Oil &amp; Gas Extraction</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0.880</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2.4</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Education</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0.865</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28.7</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Admin, &amp; Support, Waste Management, etc.</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0.848</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19.8</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Health &amp; Social Assistance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0.833</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17.2</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Other Services</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0.833</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29.0</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Non-Profit Institutions</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0.830</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25.0</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Retail Trade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0.829</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23.2</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Wholesale Trade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0.782</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11.9</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Government Sector</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0.768</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12.2</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Prof., Sci. &amp; Tech Serv</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0.751</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16.7</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Arts, Ent. and Rec.</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0.738</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26.6</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Info. &amp; Cultural</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0.736</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7.0</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Forestry &amp; Logging</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0.688</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11.7</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Accom. &amp; Food Serv.</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0.673</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24.0</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Fishing, Hunting &amp; Trapping</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0.662</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10.0</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Transport. &amp; Warehousing</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0.654</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12.5</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Utilities</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0.643</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2.9</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Agriculture</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0.637</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15.5</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lastRenderedPageBreak/>
              <w:t>Construction</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0.571</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9.9</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Support for Agri. &amp; forestry</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0.552</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9.8</w:t>
            </w:r>
          </w:p>
        </w:tc>
      </w:tr>
      <w:tr w:rsidR="005936FD" w:rsidRPr="005936FD" w:rsidTr="0026444C">
        <w:trPr>
          <w:trHeight w:val="249"/>
          <w:jc w:val="center"/>
        </w:trPr>
        <w:tc>
          <w:tcPr>
            <w:tcW w:w="0" w:type="auto"/>
            <w:tcBorders>
              <w:top w:val="nil"/>
              <w:left w:val="single" w:sz="8" w:space="0" w:color="auto"/>
              <w:bottom w:val="nil"/>
              <w:right w:val="single" w:sz="8" w:space="0" w:color="auto"/>
            </w:tcBorders>
            <w:shd w:val="clear" w:color="auto" w:fill="auto"/>
            <w:noWrap/>
            <w:vAlign w:val="bottom"/>
            <w:hideMark/>
          </w:tcPr>
          <w:p w:rsidR="005936FD" w:rsidRPr="005936FD" w:rsidRDefault="005936FD" w:rsidP="005936FD">
            <w:pPr>
              <w:spacing w:after="0"/>
              <w:rPr>
                <w:rFonts w:cs="Times New Roman"/>
                <w:sz w:val="20"/>
                <w:szCs w:val="20"/>
                <w:lang w:eastAsia="en-CA"/>
              </w:rPr>
            </w:pPr>
            <w:r w:rsidRPr="005936FD">
              <w:rPr>
                <w:rFonts w:cs="Times New Roman"/>
                <w:sz w:val="20"/>
                <w:szCs w:val="20"/>
                <w:lang w:eastAsia="en-CA"/>
              </w:rPr>
              <w:t>Manufacturing</w:t>
            </w:r>
          </w:p>
        </w:tc>
        <w:tc>
          <w:tcPr>
            <w:tcW w:w="0" w:type="auto"/>
            <w:tcBorders>
              <w:top w:val="nil"/>
              <w:left w:val="nil"/>
              <w:bottom w:val="nil"/>
              <w:right w:val="nil"/>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0.449</w:t>
            </w:r>
          </w:p>
        </w:tc>
        <w:tc>
          <w:tcPr>
            <w:tcW w:w="0" w:type="auto"/>
            <w:tcBorders>
              <w:top w:val="nil"/>
              <w:left w:val="nil"/>
              <w:bottom w:val="nil"/>
              <w:right w:val="single" w:sz="8" w:space="0" w:color="auto"/>
            </w:tcBorders>
            <w:shd w:val="clear" w:color="auto" w:fill="auto"/>
            <w:noWrap/>
            <w:vAlign w:val="bottom"/>
            <w:hideMark/>
          </w:tcPr>
          <w:p w:rsidR="005936FD" w:rsidRPr="005936FD" w:rsidRDefault="005936FD" w:rsidP="005936FD">
            <w:pPr>
              <w:spacing w:after="0"/>
              <w:jc w:val="right"/>
              <w:rPr>
                <w:rFonts w:cs="Times New Roman"/>
                <w:sz w:val="20"/>
                <w:szCs w:val="20"/>
                <w:lang w:eastAsia="en-CA"/>
              </w:rPr>
            </w:pPr>
            <w:r w:rsidRPr="005936FD">
              <w:rPr>
                <w:rFonts w:cs="Times New Roman"/>
                <w:sz w:val="20"/>
                <w:szCs w:val="20"/>
                <w:lang w:eastAsia="en-CA"/>
              </w:rPr>
              <w:t>7.3</w:t>
            </w:r>
          </w:p>
        </w:tc>
      </w:tr>
      <w:tr w:rsidR="005936FD" w:rsidRPr="005936FD" w:rsidTr="00D80A26">
        <w:trPr>
          <w:trHeight w:val="270"/>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37B59" w:rsidRPr="005936FD" w:rsidRDefault="00D37B59" w:rsidP="005936FD">
            <w:pPr>
              <w:spacing w:after="0"/>
              <w:rPr>
                <w:rFonts w:cs="Times New Roman"/>
                <w:color w:val="000000"/>
                <w:sz w:val="18"/>
                <w:szCs w:val="18"/>
                <w:lang w:eastAsia="en-CA"/>
              </w:rPr>
            </w:pPr>
            <w:r w:rsidRPr="005936FD">
              <w:rPr>
                <w:rFonts w:cs="Times New Roman"/>
                <w:color w:val="000000"/>
                <w:sz w:val="18"/>
                <w:szCs w:val="18"/>
                <w:lang w:eastAsia="en-CA"/>
              </w:rPr>
              <w:t>Source: Statistics Canada Input-Output multipliers, custom simulation and calculations by author.</w:t>
            </w:r>
          </w:p>
        </w:tc>
      </w:tr>
    </w:tbl>
    <w:p w:rsidR="00577F4B" w:rsidRDefault="004E27DB" w:rsidP="00C7027E">
      <w:pPr>
        <w:pStyle w:val="Heading2"/>
        <w:spacing w:before="240"/>
      </w:pPr>
      <w:bookmarkStart w:id="13" w:name="_Toc283303668"/>
      <w:r>
        <w:t>5</w:t>
      </w:r>
      <w:r w:rsidR="00577F4B">
        <w:t>. Induced Impact Assessment of ELC</w:t>
      </w:r>
      <w:r w:rsidR="00F31F0A">
        <w:t xml:space="preserve"> </w:t>
      </w:r>
      <w:r w:rsidR="00AE7866">
        <w:t>i</w:t>
      </w:r>
      <w:r w:rsidR="00F31F0A">
        <w:t>n Nova Scotia</w:t>
      </w:r>
      <w:bookmarkEnd w:id="13"/>
    </w:p>
    <w:p w:rsidR="00F81C27" w:rsidRDefault="00AE7866" w:rsidP="0035205B">
      <w:pPr>
        <w:spacing w:before="120"/>
      </w:pPr>
      <w:r>
        <w:t xml:space="preserve">The above discussion focused on the direct and indirect </w:t>
      </w:r>
      <w:r w:rsidR="00DA60CB">
        <w:t xml:space="preserve">economic impacts </w:t>
      </w:r>
      <w:r>
        <w:t xml:space="preserve">(Type I multiplier) from an increase in expenditures for the ELC sector compared with various other sectors. These effects, however, are only part of the total economic impact of changes in expenditures or output. As expressed </w:t>
      </w:r>
      <w:r w:rsidR="007E0E90">
        <w:t>above</w:t>
      </w:r>
      <w:r>
        <w:t xml:space="preserve"> there is also the induced effect caused by changes in income. While </w:t>
      </w:r>
      <w:r w:rsidR="00E82023">
        <w:t xml:space="preserve">Statistics Canada provides estimates of direct and indirect </w:t>
      </w:r>
      <w:r w:rsidR="00577F4B">
        <w:t xml:space="preserve">economic </w:t>
      </w:r>
      <w:r w:rsidR="00E82023">
        <w:t xml:space="preserve">effects from changes in outputs or expenditures, </w:t>
      </w:r>
      <w:r w:rsidR="00F81C27">
        <w:t>it</w:t>
      </w:r>
      <w:r w:rsidR="00E82023">
        <w:t xml:space="preserve"> does not provide estimates of the induced effect</w:t>
      </w:r>
      <w:r w:rsidR="00577F4B">
        <w:t xml:space="preserve"> for provincial economies</w:t>
      </w:r>
      <w:r w:rsidR="00E82023">
        <w:t xml:space="preserve">. </w:t>
      </w:r>
    </w:p>
    <w:p w:rsidR="00FA56F6" w:rsidRDefault="002757A5" w:rsidP="0035205B">
      <w:pPr>
        <w:spacing w:before="120"/>
      </w:pPr>
      <w:r>
        <w:t xml:space="preserve">The induced effect is </w:t>
      </w:r>
      <w:r w:rsidR="002A3F2A">
        <w:t xml:space="preserve">more </w:t>
      </w:r>
      <w:r>
        <w:t xml:space="preserve">complicated to estimate </w:t>
      </w:r>
      <w:r w:rsidR="002A3F2A">
        <w:t xml:space="preserve">than the direct and indirect effects </w:t>
      </w:r>
      <w:r>
        <w:t xml:space="preserve">because it varies depending on </w:t>
      </w:r>
      <w:r w:rsidR="00FA56F6">
        <w:t xml:space="preserve">labour’s share of costs and </w:t>
      </w:r>
      <w:r w:rsidR="002A3F2A">
        <w:t>who</w:t>
      </w:r>
      <w:r>
        <w:t xml:space="preserve"> receives the extra income. </w:t>
      </w:r>
      <w:r w:rsidR="00FA56F6">
        <w:t>Clearly, if more of the costs of a sector are labour costs the induced effect will be larger. The ELC sector has one of the highest labour shares of total costs of all the sectors. This will directly increase the induced effect of the ELC sector compared to other sectors.</w:t>
      </w:r>
      <w:r w:rsidR="00456F0F">
        <w:t xml:space="preserve"> The induced effect for the existing </w:t>
      </w:r>
      <w:r w:rsidR="00A13923">
        <w:t xml:space="preserve">ELC </w:t>
      </w:r>
      <w:r w:rsidR="00456F0F">
        <w:t>sector will also be increased because of the financial profile of the workers due to their low wages.</w:t>
      </w:r>
    </w:p>
    <w:p w:rsidR="0035205B" w:rsidRDefault="00A126AF" w:rsidP="0035205B">
      <w:pPr>
        <w:spacing w:before="120"/>
      </w:pPr>
      <w:r w:rsidRPr="00EA4AC0">
        <w:t xml:space="preserve">Generally speaking, lower income </w:t>
      </w:r>
      <w:r w:rsidR="00160CC5">
        <w:t xml:space="preserve">households </w:t>
      </w:r>
      <w:r w:rsidRPr="00EA4AC0">
        <w:t xml:space="preserve">spend more </w:t>
      </w:r>
      <w:r w:rsidR="0093387D">
        <w:t xml:space="preserve">out of an extra </w:t>
      </w:r>
      <w:r w:rsidRPr="00EA4AC0">
        <w:t xml:space="preserve">dollar </w:t>
      </w:r>
      <w:r w:rsidR="0093387D">
        <w:t>of</w:t>
      </w:r>
      <w:r w:rsidRPr="00EA4AC0">
        <w:t xml:space="preserve"> income</w:t>
      </w:r>
      <w:r w:rsidR="00160CC5">
        <w:t xml:space="preserve"> than high income households</w:t>
      </w:r>
      <w:r w:rsidRPr="00EA4AC0">
        <w:t>.</w:t>
      </w:r>
      <w:r w:rsidRPr="00EA4AC0">
        <w:rPr>
          <w:rStyle w:val="FootnoteReference"/>
        </w:rPr>
        <w:footnoteReference w:id="15"/>
      </w:r>
      <w:r w:rsidRPr="00EA4AC0">
        <w:t xml:space="preserve"> </w:t>
      </w:r>
      <w:r w:rsidR="0093387D">
        <w:t>I</w:t>
      </w:r>
      <w:r w:rsidR="00160CC5">
        <w:t xml:space="preserve">f </w:t>
      </w:r>
      <w:r w:rsidR="00F81C27">
        <w:t xml:space="preserve">more of the </w:t>
      </w:r>
      <w:r w:rsidR="00160CC5">
        <w:t xml:space="preserve">increase in income </w:t>
      </w:r>
      <w:r w:rsidR="0093387D">
        <w:t>is</w:t>
      </w:r>
      <w:r w:rsidR="00F81C27">
        <w:t xml:space="preserve"> injected back into the economy</w:t>
      </w:r>
      <w:r w:rsidR="0093387D">
        <w:t xml:space="preserve"> via spending, the</w:t>
      </w:r>
      <w:r w:rsidR="00F81C27">
        <w:t xml:space="preserve"> additional r</w:t>
      </w:r>
      <w:r w:rsidR="00160CC5">
        <w:t xml:space="preserve">ound of production </w:t>
      </w:r>
      <w:r w:rsidR="0093387D">
        <w:t>will be larger, which</w:t>
      </w:r>
      <w:r w:rsidR="00160CC5">
        <w:t xml:space="preserve"> </w:t>
      </w:r>
      <w:r w:rsidR="0093387D">
        <w:t>affects the</w:t>
      </w:r>
      <w:r w:rsidR="00160CC5">
        <w:t xml:space="preserve"> </w:t>
      </w:r>
      <w:r w:rsidR="0093387D">
        <w:t>siz</w:t>
      </w:r>
      <w:r w:rsidR="00160CC5">
        <w:t>e of</w:t>
      </w:r>
      <w:r w:rsidR="00160CC5" w:rsidRPr="00160CC5">
        <w:t xml:space="preserve"> </w:t>
      </w:r>
      <w:r w:rsidR="00160CC5" w:rsidRPr="00EA4AC0">
        <w:t>the induced multiplier</w:t>
      </w:r>
      <w:r w:rsidR="00160CC5">
        <w:t xml:space="preserve">. </w:t>
      </w:r>
      <w:r w:rsidR="0093387D">
        <w:t>T</w:t>
      </w:r>
      <w:r w:rsidR="00160CC5">
        <w:t>he induced multiplier</w:t>
      </w:r>
      <w:r w:rsidR="00160CC5" w:rsidRPr="00EA4AC0">
        <w:t xml:space="preserve"> will be higher when lower income workers are hired or their pay increased</w:t>
      </w:r>
      <w:r w:rsidR="00160CC5">
        <w:t xml:space="preserve"> compared with high income workers</w:t>
      </w:r>
      <w:r w:rsidRPr="00EA4AC0">
        <w:t xml:space="preserve">. </w:t>
      </w:r>
    </w:p>
    <w:p w:rsidR="0035205B" w:rsidRPr="00EA4AC0" w:rsidRDefault="0023080D" w:rsidP="0035205B">
      <w:pPr>
        <w:spacing w:before="120"/>
      </w:pPr>
      <w:r w:rsidRPr="0023080D">
        <w:rPr>
          <w:noProof/>
          <w:lang w:val="en-US"/>
        </w:rPr>
        <w:pict>
          <v:shape id="_x0000_s1049" type="#_x0000_t202" style="position:absolute;margin-left:-3.8pt;margin-top:66.65pt;width:440.9pt;height:316.45pt;z-index:6" stroked="f">
            <o:lock v:ext="edit" aspectratio="t"/>
            <v:textbox style="mso-next-textbox:#_x0000_s1049">
              <w:txbxContent>
                <w:p w:rsidR="00042826" w:rsidRPr="00CD09D1" w:rsidRDefault="00042826" w:rsidP="0035205B">
                  <w:pPr>
                    <w:spacing w:after="0"/>
                    <w:ind w:left="-181"/>
                    <w:jc w:val="center"/>
                    <w:rPr>
                      <w:b/>
                      <w:sz w:val="24"/>
                    </w:rPr>
                  </w:pPr>
                  <w:r w:rsidRPr="00CD09D1">
                    <w:rPr>
                      <w:b/>
                      <w:sz w:val="24"/>
                    </w:rPr>
                    <w:t xml:space="preserve">Figure </w:t>
                  </w:r>
                  <w:r w:rsidR="004E27DB">
                    <w:rPr>
                      <w:b/>
                      <w:sz w:val="24"/>
                    </w:rPr>
                    <w:t>5</w:t>
                  </w:r>
                  <w:r>
                    <w:rPr>
                      <w:b/>
                      <w:sz w:val="24"/>
                    </w:rPr>
                    <w:t>.1</w:t>
                  </w:r>
                  <w:r w:rsidRPr="00CD09D1">
                    <w:rPr>
                      <w:b/>
                      <w:sz w:val="24"/>
                    </w:rPr>
                    <w:t xml:space="preserve">: </w:t>
                  </w:r>
                  <w:r>
                    <w:rPr>
                      <w:b/>
                      <w:sz w:val="24"/>
                    </w:rPr>
                    <w:t>Lower Wage Industries Provide Higher Short-Term Stimulus</w:t>
                  </w:r>
                </w:p>
                <w:p w:rsidR="00042826" w:rsidRPr="00183014" w:rsidRDefault="00C247C0" w:rsidP="0035205B">
                  <w:pPr>
                    <w:ind w:left="-180"/>
                    <w:jc w:val="center"/>
                    <w:rPr>
                      <w:sz w:val="18"/>
                      <w:szCs w:val="18"/>
                    </w:rPr>
                  </w:pPr>
                  <w:r>
                    <w:rPr>
                      <w:noProof/>
                      <w:szCs w:val="18"/>
                      <w:lang w:eastAsia="en-CA"/>
                    </w:rPr>
                    <w:drawing>
                      <wp:inline distT="0" distB="0" distL="0" distR="0">
                        <wp:extent cx="5029200" cy="3667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029200" cy="3667125"/>
                                </a:xfrm>
                                <a:prstGeom prst="rect">
                                  <a:avLst/>
                                </a:prstGeom>
                                <a:noFill/>
                                <a:ln w="9525">
                                  <a:noFill/>
                                  <a:miter lim="800000"/>
                                  <a:headEnd/>
                                  <a:tailEnd/>
                                </a:ln>
                              </pic:spPr>
                            </pic:pic>
                          </a:graphicData>
                        </a:graphic>
                      </wp:inline>
                    </w:drawing>
                  </w:r>
                </w:p>
              </w:txbxContent>
            </v:textbox>
            <w10:wrap type="square"/>
          </v:shape>
        </w:pict>
      </w:r>
      <w:r w:rsidR="007F2F5A" w:rsidRPr="00EA4AC0">
        <w:t xml:space="preserve">One way to </w:t>
      </w:r>
      <w:r w:rsidR="007F2F5A">
        <w:t>gauge</w:t>
      </w:r>
      <w:r w:rsidR="007F2F5A" w:rsidRPr="00EA4AC0">
        <w:t xml:space="preserve"> the relative </w:t>
      </w:r>
      <w:r w:rsidR="007F2F5A">
        <w:t>induced</w:t>
      </w:r>
      <w:r w:rsidR="007F2F5A" w:rsidRPr="00EA4AC0">
        <w:t xml:space="preserve"> multipliers from changes in employment and wages is to compare the average incomes of workers.</w:t>
      </w:r>
      <w:r w:rsidR="007F2F5A">
        <w:t xml:space="preserve"> </w:t>
      </w:r>
      <w:r w:rsidR="007F2F5A" w:rsidRPr="00EA4AC0">
        <w:t xml:space="preserve">Figure </w:t>
      </w:r>
      <w:r w:rsidR="004E27DB">
        <w:t>5</w:t>
      </w:r>
      <w:r w:rsidR="007F2F5A" w:rsidRPr="00EA4AC0">
        <w:t xml:space="preserve">.1 shows the </w:t>
      </w:r>
      <w:r w:rsidR="007F2F5A">
        <w:t xml:space="preserve">annualized </w:t>
      </w:r>
      <w:r w:rsidR="007F2F5A" w:rsidRPr="00EA4AC0">
        <w:t>average weekly earnings for 200</w:t>
      </w:r>
      <w:r w:rsidR="007F2F5A">
        <w:t>9</w:t>
      </w:r>
      <w:r w:rsidR="007F2F5A" w:rsidRPr="00EA4AC0">
        <w:t xml:space="preserve"> from the Survey of Employment Payrolls and Hours (SEPH) for industries</w:t>
      </w:r>
      <w:r w:rsidR="007F2F5A">
        <w:t xml:space="preserve"> in Nova Scotia.</w:t>
      </w:r>
      <w:r w:rsidR="007F2F5A" w:rsidRPr="0093387D">
        <w:t xml:space="preserve"> </w:t>
      </w:r>
      <w:r w:rsidR="007F2F5A">
        <w:t>W</w:t>
      </w:r>
      <w:r w:rsidR="007F2F5A" w:rsidRPr="00EA4AC0">
        <w:t xml:space="preserve">ith the exception of the </w:t>
      </w:r>
      <w:r w:rsidR="007F2F5A">
        <w:t>accommodation and food service industry, the ELC sector workers</w:t>
      </w:r>
      <w:r w:rsidR="007F2F5A" w:rsidRPr="007F2F5A">
        <w:t xml:space="preserve"> </w:t>
      </w:r>
      <w:r w:rsidR="007F2F5A">
        <w:t>receive the lowest wages</w:t>
      </w:r>
      <w:r w:rsidR="007F2F5A" w:rsidRPr="00EA4AC0">
        <w:t xml:space="preserve">. </w:t>
      </w:r>
      <w:r w:rsidR="007F2F5A">
        <w:t xml:space="preserve">And the ELC sector has lower wages than the other major sectors that </w:t>
      </w:r>
      <w:r w:rsidR="0035205B">
        <w:lastRenderedPageBreak/>
        <w:t xml:space="preserve">have a high type I multiplier. </w:t>
      </w:r>
      <w:r w:rsidR="0035205B" w:rsidRPr="00EA4AC0">
        <w:t xml:space="preserve">Given the inverse relationship between wages and the marginal propensity to consume, one can conclude that stimulus to the </w:t>
      </w:r>
      <w:r w:rsidR="0035205B">
        <w:t>ELC</w:t>
      </w:r>
      <w:r w:rsidR="0035205B" w:rsidRPr="00EA4AC0">
        <w:t xml:space="preserve"> sector would provide more induced stimulus to the economy </w:t>
      </w:r>
      <w:r w:rsidR="0035205B">
        <w:t xml:space="preserve">per dollar of employment income </w:t>
      </w:r>
      <w:r w:rsidR="0035205B" w:rsidRPr="00EA4AC0">
        <w:t xml:space="preserve">than </w:t>
      </w:r>
      <w:r w:rsidR="0035205B">
        <w:t xml:space="preserve">all but the accommodation and food service industry and that the ELC sector would have a higher induced multiplier than the other industries that have a high type I multiplier. </w:t>
      </w:r>
    </w:p>
    <w:p w:rsidR="00F02A1D" w:rsidRPr="00EA4AC0" w:rsidRDefault="00F02A1D" w:rsidP="0035205B">
      <w:pPr>
        <w:spacing w:before="120"/>
      </w:pPr>
      <w:r w:rsidRPr="00EA4AC0">
        <w:t xml:space="preserve">Dynan et al. (2004) found for the U.S. that the marginal propensity to save </w:t>
      </w:r>
      <w:r w:rsidR="0067296E">
        <w:t xml:space="preserve">(MPS) </w:t>
      </w:r>
      <w:r w:rsidRPr="00EA4AC0">
        <w:t xml:space="preserve">was </w:t>
      </w:r>
      <w:r w:rsidR="00435908">
        <w:t xml:space="preserve">less than </w:t>
      </w:r>
      <w:r w:rsidRPr="00EA4AC0">
        <w:t xml:space="preserve">three cents per dollar for low-income households and 43 cents per dollar for high-income households. A basic multiplier that does not include taxes, is </w:t>
      </w:r>
      <w:r w:rsidRPr="00EA4AC0">
        <w:sym w:font="Symbol" w:char="F061"/>
      </w:r>
      <w:r w:rsidRPr="00EA4AC0">
        <w:t xml:space="preserve">=1/(1-marginal propensity to consume) or </w:t>
      </w:r>
      <w:r w:rsidRPr="00EA4AC0">
        <w:sym w:font="Symbol" w:char="F061"/>
      </w:r>
      <w:r w:rsidRPr="00EA4AC0">
        <w:t xml:space="preserve">=1/marginal propensity to save. The difference between a simple multiplier using a marginal propensity to save of three cents versus 43 cents per dollar is 33.3 for low-income households compared with 2.3 for high-income households. Since there are other leakages besides savings, such as imports and taxes, the actual induced multiplier will be less. </w:t>
      </w:r>
    </w:p>
    <w:p w:rsidR="00F02A1D" w:rsidRDefault="0035205B" w:rsidP="00F02A1D">
      <w:r>
        <w:t>T</w:t>
      </w:r>
      <w:r w:rsidR="00F02A1D" w:rsidRPr="00EA4AC0">
        <w:t>ax leakage</w:t>
      </w:r>
      <w:r>
        <w:t>s rise</w:t>
      </w:r>
      <w:r w:rsidR="00F02A1D" w:rsidRPr="00EA4AC0">
        <w:t xml:space="preserve"> with income in </w:t>
      </w:r>
      <w:r w:rsidR="003C7A7A">
        <w:t>Nova Scotia</w:t>
      </w:r>
      <w:r w:rsidR="00F02A1D" w:rsidRPr="00EA4AC0">
        <w:t xml:space="preserve"> because of the progressive </w:t>
      </w:r>
      <w:r w:rsidR="00B57234">
        <w:t xml:space="preserve">personal income </w:t>
      </w:r>
      <w:r w:rsidR="00F02A1D" w:rsidRPr="00EA4AC0">
        <w:t>tax system.</w:t>
      </w:r>
      <w:r>
        <w:rPr>
          <w:rStyle w:val="FootnoteReference"/>
        </w:rPr>
        <w:footnoteReference w:id="16"/>
      </w:r>
      <w:r w:rsidR="00F02A1D" w:rsidRPr="00EA4AC0">
        <w:t xml:space="preserve"> Using </w:t>
      </w:r>
      <w:r w:rsidR="00F02A1D">
        <w:t xml:space="preserve">tax </w:t>
      </w:r>
      <w:r w:rsidR="00AC0729">
        <w:t>rates</w:t>
      </w:r>
      <w:r w:rsidR="00F02A1D">
        <w:t xml:space="preserve"> for 2009</w:t>
      </w:r>
      <w:r w:rsidR="00F02A1D" w:rsidRPr="00EA4AC0">
        <w:t xml:space="preserve">, </w:t>
      </w:r>
      <w:r w:rsidR="00B57234">
        <w:t>a</w:t>
      </w:r>
      <w:r w:rsidR="00F02A1D" w:rsidRPr="00EA4AC0">
        <w:t xml:space="preserve"> dollar increase in </w:t>
      </w:r>
      <w:r w:rsidR="00AC0729">
        <w:t xml:space="preserve">gross </w:t>
      </w:r>
      <w:r w:rsidR="00F02A1D" w:rsidRPr="00EA4AC0">
        <w:t>wage income at an annual salary of $2</w:t>
      </w:r>
      <w:r w:rsidR="00AB5816">
        <w:t>2</w:t>
      </w:r>
      <w:r w:rsidR="00F02A1D" w:rsidRPr="00EA4AC0">
        <w:t>,</w:t>
      </w:r>
      <w:r w:rsidR="00AB5816">
        <w:t>020</w:t>
      </w:r>
      <w:r w:rsidR="00F02A1D" w:rsidRPr="00EA4AC0">
        <w:t xml:space="preserve"> (the annualized weekly earnings of the NAICS 6244 “Child day-care services” industry) would boost personal income taxes payable by 2</w:t>
      </w:r>
      <w:r w:rsidR="00262C9D">
        <w:t>3.8</w:t>
      </w:r>
      <w:r w:rsidR="00F02A1D" w:rsidRPr="00EA4AC0">
        <w:t xml:space="preserve"> cents</w:t>
      </w:r>
      <w:r w:rsidR="00B57234">
        <w:t>.</w:t>
      </w:r>
      <w:r w:rsidR="003A401D">
        <w:rPr>
          <w:rStyle w:val="FootnoteReference"/>
        </w:rPr>
        <w:footnoteReference w:id="17"/>
      </w:r>
      <w:r w:rsidR="00F02A1D" w:rsidRPr="00EA4AC0">
        <w:t xml:space="preserve"> For workers who earn a</w:t>
      </w:r>
      <w:r w:rsidR="00AB5816">
        <w:t>n</w:t>
      </w:r>
      <w:r w:rsidR="00F02A1D" w:rsidRPr="00EA4AC0">
        <w:t xml:space="preserve"> income equal to </w:t>
      </w:r>
      <w:r w:rsidR="00123599">
        <w:t>the average industrial wage</w:t>
      </w:r>
      <w:r w:rsidR="00AB5816">
        <w:t xml:space="preserve"> of $37</w:t>
      </w:r>
      <w:r w:rsidR="00123599">
        <w:t>,</w:t>
      </w:r>
      <w:r w:rsidR="00AB5816">
        <w:t>983</w:t>
      </w:r>
      <w:r w:rsidR="00262C9D">
        <w:t xml:space="preserve"> the tax bite was</w:t>
      </w:r>
      <w:r w:rsidR="00B57234">
        <w:t xml:space="preserve"> </w:t>
      </w:r>
      <w:r w:rsidR="00262C9D">
        <w:t>28.8</w:t>
      </w:r>
      <w:r w:rsidR="00B57234">
        <w:t xml:space="preserve"> cents on </w:t>
      </w:r>
      <w:r w:rsidR="00C8509E">
        <w:t>an extra</w:t>
      </w:r>
      <w:r w:rsidR="00B57234">
        <w:t xml:space="preserve"> dol</w:t>
      </w:r>
      <w:r w:rsidR="00262C9D">
        <w:t>lar</w:t>
      </w:r>
      <w:r w:rsidR="00D37B59">
        <w:t xml:space="preserve"> in 2009</w:t>
      </w:r>
      <w:r w:rsidR="00B57234">
        <w:t>.</w:t>
      </w:r>
    </w:p>
    <w:p w:rsidR="00262C9D" w:rsidRDefault="00262C9D" w:rsidP="00A126AF">
      <w:r>
        <w:t>In addition, a</w:t>
      </w:r>
      <w:r w:rsidR="00A126AF" w:rsidRPr="00EA4AC0">
        <w:t xml:space="preserve"> portion of each dollar of earned income will be siphoned into government coffers via payroll taxes for employment insurance (EI) and the Canada </w:t>
      </w:r>
      <w:r w:rsidR="00802ECC">
        <w:t>P</w:t>
      </w:r>
      <w:r w:rsidR="00B35EAB">
        <w:t xml:space="preserve">ension </w:t>
      </w:r>
      <w:r w:rsidR="00802ECC">
        <w:t>P</w:t>
      </w:r>
      <w:r w:rsidR="00B35EAB">
        <w:t>lan</w:t>
      </w:r>
      <w:r w:rsidR="00A126AF" w:rsidRPr="00EA4AC0">
        <w:t xml:space="preserve"> (CPP). Notably, these payroll taxes are regressive insofar as they have pensionable and insurable maximums above which additional amounts are not collected. </w:t>
      </w:r>
      <w:r w:rsidR="00C01CB2">
        <w:t xml:space="preserve">For 2009, </w:t>
      </w:r>
      <w:r w:rsidR="00A126AF" w:rsidRPr="00EA4AC0">
        <w:t xml:space="preserve">the marginal tax rates for </w:t>
      </w:r>
      <w:r w:rsidR="00F504CF">
        <w:t>EI and CPP</w:t>
      </w:r>
      <w:r w:rsidR="00C01CB2">
        <w:t xml:space="preserve"> </w:t>
      </w:r>
      <w:r>
        <w:t xml:space="preserve">were 1.73% and 4.95% and </w:t>
      </w:r>
      <w:r w:rsidR="00C01CB2">
        <w:t>beca</w:t>
      </w:r>
      <w:r w:rsidR="00A126AF" w:rsidRPr="00EA4AC0">
        <w:t xml:space="preserve">me zero </w:t>
      </w:r>
      <w:r w:rsidR="00F504CF">
        <w:t>at</w:t>
      </w:r>
      <w:r w:rsidR="00A126AF" w:rsidRPr="00EA4AC0">
        <w:t xml:space="preserve"> </w:t>
      </w:r>
      <w:r w:rsidR="00BD2BE0">
        <w:t xml:space="preserve">the maximums earnings of </w:t>
      </w:r>
      <w:r w:rsidR="00A126AF" w:rsidRPr="00EA4AC0">
        <w:t>$4</w:t>
      </w:r>
      <w:r w:rsidR="00F504CF">
        <w:t>2</w:t>
      </w:r>
      <w:r w:rsidR="00A126AF" w:rsidRPr="00EA4AC0">
        <w:t>,</w:t>
      </w:r>
      <w:r w:rsidR="00F504CF">
        <w:t>3</w:t>
      </w:r>
      <w:r w:rsidR="00A126AF" w:rsidRPr="00EA4AC0">
        <w:t>00</w:t>
      </w:r>
      <w:r w:rsidR="00F504CF">
        <w:t xml:space="preserve"> and </w:t>
      </w:r>
      <w:r w:rsidR="00A126AF" w:rsidRPr="00EA4AC0">
        <w:t>$4</w:t>
      </w:r>
      <w:r w:rsidR="00F504CF">
        <w:t>6</w:t>
      </w:r>
      <w:r w:rsidR="00A126AF" w:rsidRPr="00EA4AC0">
        <w:t>,</w:t>
      </w:r>
      <w:r w:rsidR="00F504CF">
        <w:t>3</w:t>
      </w:r>
      <w:r w:rsidR="00A126AF" w:rsidRPr="00EA4AC0">
        <w:t>00 r</w:t>
      </w:r>
      <w:r w:rsidR="00F504CF">
        <w:t>espectively.</w:t>
      </w:r>
      <w:r w:rsidR="00A126AF" w:rsidRPr="00EA4AC0">
        <w:t xml:space="preserve"> </w:t>
      </w:r>
    </w:p>
    <w:p w:rsidR="00A126AF" w:rsidRPr="00EA4AC0" w:rsidRDefault="00A126AF" w:rsidP="00A126AF">
      <w:r w:rsidRPr="00EA4AC0">
        <w:t xml:space="preserve">As well, a portion of each dollar spent will go towards sales taxes. </w:t>
      </w:r>
      <w:r w:rsidR="00C01CB2">
        <w:t xml:space="preserve">In </w:t>
      </w:r>
      <w:r w:rsidR="00697974">
        <w:t xml:space="preserve">Nova Scotia </w:t>
      </w:r>
      <w:r w:rsidR="00C01CB2">
        <w:t>the</w:t>
      </w:r>
      <w:r w:rsidR="00697974">
        <w:t xml:space="preserve"> Harmonized Sales Tax</w:t>
      </w:r>
      <w:r w:rsidR="00C01CB2">
        <w:t xml:space="preserve"> (HST) was</w:t>
      </w:r>
      <w:r w:rsidR="00697974">
        <w:t xml:space="preserve"> </w:t>
      </w:r>
      <w:r w:rsidR="00C01CB2">
        <w:t xml:space="preserve">13% in 2009, </w:t>
      </w:r>
      <w:r w:rsidR="005B1ED3">
        <w:t xml:space="preserve">with the </w:t>
      </w:r>
      <w:r w:rsidR="00697974">
        <w:t xml:space="preserve">federal </w:t>
      </w:r>
      <w:r w:rsidR="005B1ED3">
        <w:t>and</w:t>
      </w:r>
      <w:r w:rsidR="00697974">
        <w:t xml:space="preserve"> provincial government</w:t>
      </w:r>
      <w:r w:rsidR="005B1ED3">
        <w:t>s receiving 5% and 8% respectively</w:t>
      </w:r>
      <w:r w:rsidR="00697974">
        <w:t xml:space="preserve">. </w:t>
      </w:r>
      <w:r w:rsidR="00C01CB2">
        <w:t xml:space="preserve">The HST is not applied to all consumer items, so the effective rate </w:t>
      </w:r>
      <w:r w:rsidR="005B1ED3">
        <w:t>for</w:t>
      </w:r>
      <w:r w:rsidR="00C01CB2">
        <w:t xml:space="preserve"> </w:t>
      </w:r>
      <w:r w:rsidR="005B1ED3">
        <w:t xml:space="preserve">an </w:t>
      </w:r>
      <w:r w:rsidR="00C01CB2">
        <w:t>extra dollar of spending is l</w:t>
      </w:r>
      <w:r w:rsidR="005B1ED3">
        <w:t>ess</w:t>
      </w:r>
      <w:r w:rsidR="00C01CB2">
        <w:t xml:space="preserve"> than these rates. </w:t>
      </w:r>
      <w:r w:rsidRPr="00EA4AC0">
        <w:t xml:space="preserve">Lower income households have a lower effective indirect tax rate </w:t>
      </w:r>
      <w:r w:rsidR="00C8509E">
        <w:t xml:space="preserve">on spending </w:t>
      </w:r>
      <w:r w:rsidR="00C01CB2">
        <w:t xml:space="preserve">than high income households </w:t>
      </w:r>
      <w:r w:rsidRPr="00EA4AC0">
        <w:t xml:space="preserve">because they spend relatively more money on shelter and food, which have a lower incidence of indirect taxation. Using the information from the </w:t>
      </w:r>
      <w:r w:rsidR="00697974">
        <w:t xml:space="preserve">Canadian </w:t>
      </w:r>
      <w:r w:rsidRPr="00EA4AC0">
        <w:t>household spending survey for the lowest quintile shows an average incidence of 8.3% versus 10.9% for the highest quintile and 9.4% for a mid-level earner.</w:t>
      </w:r>
      <w:r w:rsidR="00413535">
        <w:t xml:space="preserve"> These estimates were used to represent the differences is spending </w:t>
      </w:r>
      <w:r w:rsidR="00EF7100">
        <w:t xml:space="preserve">and tax leakages </w:t>
      </w:r>
      <w:r w:rsidR="00413535">
        <w:t>for the different income groups.</w:t>
      </w:r>
    </w:p>
    <w:p w:rsidR="00351CCF" w:rsidRDefault="00003E00" w:rsidP="00A126AF">
      <w:pPr>
        <w:spacing w:before="120"/>
      </w:pPr>
      <w:r>
        <w:t xml:space="preserve">There are also </w:t>
      </w:r>
      <w:r w:rsidR="00413535">
        <w:t>import leakages</w:t>
      </w:r>
      <w:r w:rsidR="00657E17">
        <w:t xml:space="preserve"> that reduce the size of the multiplier</w:t>
      </w:r>
      <w:r w:rsidR="00413535">
        <w:t>.</w:t>
      </w:r>
      <w:r>
        <w:t xml:space="preserve"> </w:t>
      </w:r>
      <w:r w:rsidR="00413535">
        <w:t>From 20</w:t>
      </w:r>
      <w:r w:rsidR="005B1ED3">
        <w:t>06 to 2008</w:t>
      </w:r>
      <w:r w:rsidR="00413535">
        <w:t xml:space="preserve"> imports </w:t>
      </w:r>
      <w:r w:rsidR="00351CCF">
        <w:t xml:space="preserve">into Nova Scotia </w:t>
      </w:r>
      <w:r w:rsidR="00413535">
        <w:t xml:space="preserve">represented 53-54% of final domestic demand and averaged 53.6%. This </w:t>
      </w:r>
      <w:r w:rsidR="005B1ED3">
        <w:t>rate of import penetration, however,</w:t>
      </w:r>
      <w:r w:rsidR="00413535">
        <w:t xml:space="preserve"> overstates the actual </w:t>
      </w:r>
      <w:r w:rsidR="005B1ED3">
        <w:t>import leakage from extra personal income and spending</w:t>
      </w:r>
      <w:r w:rsidR="0016001E">
        <w:t xml:space="preserve"> for two reasons</w:t>
      </w:r>
      <w:r w:rsidR="00413535">
        <w:t xml:space="preserve">. First, </w:t>
      </w:r>
      <w:r w:rsidR="00351CCF">
        <w:t>the provincial accounts treat all imports as final demand</w:t>
      </w:r>
      <w:r w:rsidR="005B1ED3">
        <w:t>, which</w:t>
      </w:r>
      <w:r w:rsidR="00351CCF">
        <w:t xml:space="preserve"> overstates the incidence of imports in final domestic demand. </w:t>
      </w:r>
      <w:r w:rsidR="005B1ED3">
        <w:t xml:space="preserve">This because a large share of </w:t>
      </w:r>
      <w:r w:rsidR="008B708E">
        <w:t xml:space="preserve">the goods </w:t>
      </w:r>
      <w:r w:rsidR="005B1ED3">
        <w:t>import</w:t>
      </w:r>
      <w:r w:rsidR="008B708E">
        <w:t>ed</w:t>
      </w:r>
      <w:r w:rsidR="005B1ED3">
        <w:t xml:space="preserve"> </w:t>
      </w:r>
      <w:r w:rsidR="008B708E">
        <w:t xml:space="preserve">into the economy are </w:t>
      </w:r>
      <w:r w:rsidR="005B1ED3">
        <w:t>intermediate goods</w:t>
      </w:r>
      <w:r w:rsidR="008B708E">
        <w:t xml:space="preserve">. </w:t>
      </w:r>
      <w:r w:rsidR="005B1ED3">
        <w:t xml:space="preserve"> </w:t>
      </w:r>
      <w:r w:rsidR="009F21C1">
        <w:t>As discuss by Cross and Ghanem (2003), m</w:t>
      </w:r>
      <w:r w:rsidR="008B708E">
        <w:t xml:space="preserve">any </w:t>
      </w:r>
      <w:r w:rsidR="009F21C1">
        <w:t xml:space="preserve">imports </w:t>
      </w:r>
      <w:r w:rsidR="005B1ED3">
        <w:t xml:space="preserve">are used in the production of provincial exports. </w:t>
      </w:r>
      <w:r w:rsidR="00CF175B">
        <w:t>T</w:t>
      </w:r>
      <w:r w:rsidR="00351CCF">
        <w:t xml:space="preserve">o more accurately illustrate the increase in </w:t>
      </w:r>
      <w:r w:rsidR="008B708E">
        <w:t>im</w:t>
      </w:r>
      <w:r w:rsidR="00351CCF">
        <w:t xml:space="preserve">ports because of a rise in domestic demand, these exports should be removed. This is </w:t>
      </w:r>
      <w:r w:rsidR="00351CCF">
        <w:lastRenderedPageBreak/>
        <w:t xml:space="preserve">done </w:t>
      </w:r>
      <w:r w:rsidR="008B708E">
        <w:t xml:space="preserve">in the current exercise </w:t>
      </w:r>
      <w:r w:rsidR="00351CCF">
        <w:t>by using the estimate from Cross and Ghanem that 26% of the value of exports are imported products. Once th</w:t>
      </w:r>
      <w:r w:rsidR="008B708E">
        <w:t>e</w:t>
      </w:r>
      <w:r w:rsidR="00351CCF">
        <w:t>s</w:t>
      </w:r>
      <w:r w:rsidR="008B708E">
        <w:t>e</w:t>
      </w:r>
      <w:r w:rsidR="00351CCF">
        <w:t xml:space="preserve"> </w:t>
      </w:r>
      <w:r w:rsidR="008B708E">
        <w:t>imports are</w:t>
      </w:r>
      <w:r w:rsidR="00351CCF">
        <w:t xml:space="preserve"> removed, the share of imports to final domestic demand is 4</w:t>
      </w:r>
      <w:r w:rsidR="008B708E">
        <w:t>3.9</w:t>
      </w:r>
      <w:r w:rsidR="00351CCF">
        <w:t>%.</w:t>
      </w:r>
    </w:p>
    <w:p w:rsidR="00CF175B" w:rsidRDefault="0016001E" w:rsidP="00A126AF">
      <w:pPr>
        <w:spacing w:before="120"/>
      </w:pPr>
      <w:r>
        <w:t xml:space="preserve">Second, </w:t>
      </w:r>
      <w:r w:rsidR="00351CCF">
        <w:t xml:space="preserve">consumer spending has a lower incidence of imports than the economy as a whole because </w:t>
      </w:r>
      <w:r w:rsidR="00EF7100">
        <w:t>services are a large</w:t>
      </w:r>
      <w:r w:rsidR="00351CCF">
        <w:t xml:space="preserve"> </w:t>
      </w:r>
      <w:r w:rsidR="00EF7100">
        <w:t>portion</w:t>
      </w:r>
      <w:r w:rsidR="00351CCF">
        <w:t xml:space="preserve"> of consumer spending</w:t>
      </w:r>
      <w:r w:rsidR="00EF7100">
        <w:t>.</w:t>
      </w:r>
      <w:r w:rsidR="00351CCF">
        <w:t xml:space="preserve"> </w:t>
      </w:r>
      <w:r w:rsidR="00EF7100">
        <w:t>And services</w:t>
      </w:r>
      <w:r w:rsidR="00351CCF">
        <w:t xml:space="preserve"> have a low</w:t>
      </w:r>
      <w:r w:rsidR="00262C9D">
        <w:t>er</w:t>
      </w:r>
      <w:r w:rsidR="00351CCF">
        <w:t xml:space="preserve"> </w:t>
      </w:r>
      <w:r w:rsidR="00262C9D">
        <w:t>share</w:t>
      </w:r>
      <w:r w:rsidR="00351CCF">
        <w:t xml:space="preserve"> </w:t>
      </w:r>
      <w:r w:rsidR="00262C9D">
        <w:t xml:space="preserve">of </w:t>
      </w:r>
      <w:r w:rsidR="00351CCF">
        <w:t>imports per dollar spent</w:t>
      </w:r>
      <w:r w:rsidR="00C8509E">
        <w:t xml:space="preserve"> than </w:t>
      </w:r>
      <w:r w:rsidR="00CF175B">
        <w:t>goods</w:t>
      </w:r>
      <w:r w:rsidR="00351CCF">
        <w:t>. For example, rent is the largest consumer category, worth over $3</w:t>
      </w:r>
      <w:r w:rsidR="009F21C1">
        <w:t>.</w:t>
      </w:r>
      <w:r w:rsidR="00F66049">
        <w:t>3</w:t>
      </w:r>
      <w:r w:rsidR="00351CCF">
        <w:t xml:space="preserve"> billion in 200</w:t>
      </w:r>
      <w:r w:rsidR="00F66049">
        <w:t>6</w:t>
      </w:r>
      <w:r w:rsidR="00EF7100">
        <w:t>,</w:t>
      </w:r>
      <w:r w:rsidR="00351CCF">
        <w:t xml:space="preserve"> </w:t>
      </w:r>
      <w:r w:rsidR="00F66049">
        <w:t>none of which is</w:t>
      </w:r>
      <w:r w:rsidR="00351CCF">
        <w:t xml:space="preserve"> import</w:t>
      </w:r>
      <w:r w:rsidR="00F66049">
        <w:t>ed</w:t>
      </w:r>
      <w:r w:rsidR="00351CCF">
        <w:t xml:space="preserve">. In order to take this </w:t>
      </w:r>
      <w:r w:rsidR="008B708E">
        <w:t xml:space="preserve">phenomenon </w:t>
      </w:r>
      <w:r w:rsidR="00351CCF">
        <w:t>into account</w:t>
      </w:r>
      <w:r w:rsidR="008B708E">
        <w:t>,</w:t>
      </w:r>
      <w:r w:rsidR="00351CCF">
        <w:t xml:space="preserve"> the consumer spending illustrated in the Input-Output tables </w:t>
      </w:r>
      <w:r w:rsidR="00CF175B">
        <w:t xml:space="preserve">at the “S” level </w:t>
      </w:r>
      <w:r w:rsidR="00351CCF">
        <w:t xml:space="preserve">were compared with </w:t>
      </w:r>
      <w:r w:rsidR="00A04502">
        <w:t>the import share of available products (domestic output plus imports)</w:t>
      </w:r>
      <w:r w:rsidR="008B708E">
        <w:t xml:space="preserve"> on a commodity by commodity basis</w:t>
      </w:r>
      <w:r w:rsidR="00351CCF">
        <w:t xml:space="preserve">. </w:t>
      </w:r>
      <w:r w:rsidR="00CF175B">
        <w:t>Once th</w:t>
      </w:r>
      <w:r w:rsidR="00A04502">
        <w:t xml:space="preserve">e import share is applied to each consumption item and </w:t>
      </w:r>
      <w:r w:rsidR="00EF7100">
        <w:t xml:space="preserve">these </w:t>
      </w:r>
      <w:r w:rsidR="00A04502">
        <w:t>are totalled</w:t>
      </w:r>
      <w:r w:rsidR="00EF7100">
        <w:t>,</w:t>
      </w:r>
      <w:r w:rsidR="00A04502">
        <w:t xml:space="preserve"> </w:t>
      </w:r>
      <w:r w:rsidR="00CE2EF7">
        <w:t xml:space="preserve">the import share of total </w:t>
      </w:r>
      <w:r w:rsidR="00CF175B">
        <w:t xml:space="preserve">consumer spending is </w:t>
      </w:r>
      <w:r w:rsidR="00CE2EF7">
        <w:t xml:space="preserve">estimated to be </w:t>
      </w:r>
      <w:r w:rsidR="00A04502">
        <w:t>38</w:t>
      </w:r>
      <w:r w:rsidR="00CF175B">
        <w:t>.</w:t>
      </w:r>
      <w:r w:rsidR="00A04502">
        <w:t>7</w:t>
      </w:r>
      <w:r w:rsidR="00CF175B">
        <w:t xml:space="preserve">%. </w:t>
      </w:r>
    </w:p>
    <w:p w:rsidR="005A6025" w:rsidRDefault="004C6DC8" w:rsidP="00A126AF">
      <w:pPr>
        <w:spacing w:before="120"/>
      </w:pPr>
      <w:r>
        <w:t xml:space="preserve">In order to determine the induced effect caused by an increase in employment income by ELC workers detailed calculations are made using the above leakage estimates in order to calculate the full multiplier effect. For these calculations, </w:t>
      </w:r>
      <w:r w:rsidR="00BA469A">
        <w:t>many</w:t>
      </w:r>
      <w:r>
        <w:t xml:space="preserve"> rounds of spending </w:t>
      </w:r>
      <w:r w:rsidR="005A6025">
        <w:t xml:space="preserve">and production </w:t>
      </w:r>
      <w:r>
        <w:t xml:space="preserve">are calculated that are analogous to the direct and indirect effects discussed above. </w:t>
      </w:r>
      <w:r w:rsidR="009F21C1">
        <w:t xml:space="preserve">The first round effect represents the direct increase in consumer spending </w:t>
      </w:r>
      <w:r w:rsidR="005A6025">
        <w:t>and domestic production that occur</w:t>
      </w:r>
      <w:r w:rsidR="009F21C1">
        <w:t xml:space="preserve"> following an increase in </w:t>
      </w:r>
      <w:r>
        <w:t xml:space="preserve">employment </w:t>
      </w:r>
      <w:r w:rsidR="009F21C1">
        <w:t>income after taking into account the tax, savings and import leakages. In these</w:t>
      </w:r>
      <w:r w:rsidR="00CF175B">
        <w:t xml:space="preserve"> </w:t>
      </w:r>
      <w:r w:rsidR="009F21C1">
        <w:t xml:space="preserve">first round calculations, </w:t>
      </w:r>
      <w:r w:rsidR="005A6025">
        <w:t>it is assumed</w:t>
      </w:r>
      <w:r w:rsidR="00CF175B">
        <w:t xml:space="preserve"> </w:t>
      </w:r>
      <w:r w:rsidR="009F21C1">
        <w:t xml:space="preserve">that </w:t>
      </w:r>
      <w:r w:rsidR="00EF7100">
        <w:t xml:space="preserve">ELC </w:t>
      </w:r>
      <w:r w:rsidR="005A6025">
        <w:t>workers earn $2</w:t>
      </w:r>
      <w:r w:rsidR="00AB5816">
        <w:t>2</w:t>
      </w:r>
      <w:r w:rsidR="00BA469A">
        <w:t>,</w:t>
      </w:r>
      <w:r w:rsidR="00AB5816">
        <w:t>020</w:t>
      </w:r>
      <w:r w:rsidR="00EF7100">
        <w:t xml:space="preserve"> per annum.</w:t>
      </w:r>
      <w:r w:rsidR="005A6025">
        <w:t xml:space="preserve"> </w:t>
      </w:r>
      <w:r w:rsidR="00EF7100">
        <w:t>At this income level</w:t>
      </w:r>
      <w:r w:rsidR="00916FA2">
        <w:t>,</w:t>
      </w:r>
      <w:r w:rsidR="00EF7100">
        <w:t xml:space="preserve"> t</w:t>
      </w:r>
      <w:r>
        <w:t>he 2009</w:t>
      </w:r>
      <w:r w:rsidR="00EF7100">
        <w:t xml:space="preserve"> </w:t>
      </w:r>
      <w:r w:rsidR="00C8509E">
        <w:t xml:space="preserve">personal </w:t>
      </w:r>
      <w:r w:rsidR="00EF7100">
        <w:t xml:space="preserve">tax rates for </w:t>
      </w:r>
      <w:r w:rsidR="005A6025">
        <w:t xml:space="preserve">EI and CPP </w:t>
      </w:r>
      <w:r w:rsidR="00BA469A">
        <w:t>of 1.73% and 4.95% and</w:t>
      </w:r>
      <w:r w:rsidR="005A6025">
        <w:t xml:space="preserve"> the personal income tax rates </w:t>
      </w:r>
      <w:r w:rsidR="00BA469A">
        <w:t xml:space="preserve">of 15% for the federal government and 8.79% </w:t>
      </w:r>
      <w:r w:rsidR="005A6025">
        <w:t xml:space="preserve">for Nova Scotia </w:t>
      </w:r>
      <w:r w:rsidR="00E72596">
        <w:t xml:space="preserve">are used. </w:t>
      </w:r>
      <w:r w:rsidR="00916FA2">
        <w:t>It is also assumed that the marginal propensity to consume (MPC) is 97 cents on the dollar, t</w:t>
      </w:r>
      <w:r w:rsidR="00EF7100">
        <w:t>he effective sales tax rate is 8.3 cents per dollar of consumer spending and imports represent 38.7% of each extra dollar of consumer spending.</w:t>
      </w:r>
      <w:r w:rsidR="00916FA2" w:rsidRPr="00916FA2">
        <w:t xml:space="preserve"> </w:t>
      </w:r>
      <w:r w:rsidR="009210CB">
        <w:t>Notably, the use of 38.7% for the import leakage likely overstates the leakage because lower income households tend to spend more of their money on locally produced consumer items like rent, and less on imported luxury goods. This means the multiplier estimate for the ELC sector is likely conservative.</w:t>
      </w:r>
    </w:p>
    <w:p w:rsidR="00CF175B" w:rsidRDefault="005A6025" w:rsidP="00A126AF">
      <w:pPr>
        <w:spacing w:before="120"/>
      </w:pPr>
      <w:r>
        <w:t xml:space="preserve">In subsequent consumption and production rounds, it is assumed that the economic effects </w:t>
      </w:r>
      <w:r w:rsidR="00BA469A">
        <w:t xml:space="preserve">are </w:t>
      </w:r>
      <w:r>
        <w:t xml:space="preserve">spread throughout the economy. </w:t>
      </w:r>
      <w:r w:rsidR="00CF175B">
        <w:t>The</w:t>
      </w:r>
      <w:r>
        <w:t>se</w:t>
      </w:r>
      <w:r w:rsidR="00CF175B">
        <w:t xml:space="preserve"> </w:t>
      </w:r>
      <w:r>
        <w:t xml:space="preserve">rounds use </w:t>
      </w:r>
      <w:r w:rsidR="00BA469A">
        <w:t>assumptions representing an average worker with earned income of $3</w:t>
      </w:r>
      <w:r w:rsidR="00AB5816">
        <w:t>7</w:t>
      </w:r>
      <w:r w:rsidR="00BA469A">
        <w:t>,</w:t>
      </w:r>
      <w:r w:rsidR="00AB5816">
        <w:t>983</w:t>
      </w:r>
      <w:r w:rsidR="00BA469A">
        <w:t xml:space="preserve">, </w:t>
      </w:r>
      <w:r w:rsidR="00916FA2">
        <w:t xml:space="preserve">a </w:t>
      </w:r>
      <w:r w:rsidR="00736F43">
        <w:t xml:space="preserve">MPC of </w:t>
      </w:r>
      <w:r w:rsidR="00BA469A">
        <w:t xml:space="preserve">84.2 cents per dollar, </w:t>
      </w:r>
      <w:r>
        <w:t xml:space="preserve">GST tax </w:t>
      </w:r>
      <w:r w:rsidR="00BA469A">
        <w:t xml:space="preserve">credit clawback of 5%, </w:t>
      </w:r>
      <w:r w:rsidR="00C8509E">
        <w:t xml:space="preserve">an EI rate of 1.73%, a CPP rate of 4.95%, </w:t>
      </w:r>
      <w:r w:rsidR="00BA469A">
        <w:t xml:space="preserve">a federal personal income tax rate of </w:t>
      </w:r>
      <w:r>
        <w:t xml:space="preserve">rate of </w:t>
      </w:r>
      <w:r w:rsidR="00BA469A">
        <w:t>15</w:t>
      </w:r>
      <w:r>
        <w:t xml:space="preserve">%, </w:t>
      </w:r>
      <w:r w:rsidR="00BA469A">
        <w:t xml:space="preserve">a provincial personal income tax rate of 8.79%, </w:t>
      </w:r>
      <w:r w:rsidR="00736F43">
        <w:t>an import</w:t>
      </w:r>
      <w:r w:rsidR="00CF175B">
        <w:t xml:space="preserve"> </w:t>
      </w:r>
      <w:r w:rsidR="00BA469A">
        <w:t xml:space="preserve">leakage of </w:t>
      </w:r>
      <w:r w:rsidR="00CF175B">
        <w:t>4</w:t>
      </w:r>
      <w:r w:rsidR="00A04502">
        <w:t>3.9</w:t>
      </w:r>
      <w:r w:rsidR="00CF175B">
        <w:t xml:space="preserve">% </w:t>
      </w:r>
      <w:r w:rsidR="00BA469A">
        <w:t>per</w:t>
      </w:r>
      <w:r w:rsidR="00CF175B">
        <w:t xml:space="preserve"> extra dollar of final domestic demand</w:t>
      </w:r>
      <w:r w:rsidR="00BA469A">
        <w:t xml:space="preserve"> and a</w:t>
      </w:r>
      <w:r w:rsidR="009148D5">
        <w:t>n effective</w:t>
      </w:r>
      <w:r w:rsidR="00BA469A">
        <w:t xml:space="preserve"> sales tax </w:t>
      </w:r>
      <w:r w:rsidR="009148D5">
        <w:t>rate of 9.2%</w:t>
      </w:r>
      <w:r w:rsidR="00CF175B">
        <w:t>.</w:t>
      </w:r>
      <w:r w:rsidR="009148D5">
        <w:t xml:space="preserve"> Calculation</w:t>
      </w:r>
      <w:r w:rsidR="00C8509E">
        <w:t>s</w:t>
      </w:r>
      <w:r w:rsidR="009148D5">
        <w:t xml:space="preserve"> for subsequent consumption and production rounds continue until the difference between rounds is less than 0.01%.</w:t>
      </w:r>
    </w:p>
    <w:p w:rsidR="00A126AF" w:rsidRPr="00EA4AC0" w:rsidRDefault="009148D5" w:rsidP="00A126AF">
      <w:pPr>
        <w:spacing w:before="120"/>
      </w:pPr>
      <w:r>
        <w:t>Using the above a</w:t>
      </w:r>
      <w:r w:rsidR="00A126AF" w:rsidRPr="00EA4AC0">
        <w:t>ssum</w:t>
      </w:r>
      <w:r>
        <w:t>ptions,</w:t>
      </w:r>
      <w:r w:rsidR="00A126AF" w:rsidRPr="00EA4AC0">
        <w:t xml:space="preserve"> the induced multiplier for an increase in “Child day-care services” employment and wages would be 1.</w:t>
      </w:r>
      <w:r w:rsidR="00A04502">
        <w:t>5</w:t>
      </w:r>
      <w:r w:rsidR="00916FA2">
        <w:t>3</w:t>
      </w:r>
      <w:r w:rsidR="00A126AF" w:rsidRPr="00EA4AC0">
        <w:t xml:space="preserve"> per dollar increase in employment income. This compares with a multiplier of </w:t>
      </w:r>
      <w:r>
        <w:t>1</w:t>
      </w:r>
      <w:r w:rsidR="00A126AF" w:rsidRPr="00EA4AC0">
        <w:t>.</w:t>
      </w:r>
      <w:r>
        <w:t>2</w:t>
      </w:r>
      <w:r w:rsidR="005217A8">
        <w:t>3</w:t>
      </w:r>
      <w:r w:rsidR="00A126AF" w:rsidRPr="00EA4AC0">
        <w:t xml:space="preserve"> for the top tax bracket and a multiplier of 1.</w:t>
      </w:r>
      <w:r>
        <w:t>4</w:t>
      </w:r>
      <w:r w:rsidR="005217A8">
        <w:t>2</w:t>
      </w:r>
      <w:r w:rsidR="00A126AF" w:rsidRPr="00EA4AC0">
        <w:t xml:space="preserve"> for </w:t>
      </w:r>
      <w:r>
        <w:t>average</w:t>
      </w:r>
      <w:r w:rsidR="00A126AF" w:rsidRPr="00EA4AC0">
        <w:t xml:space="preserve"> earners. </w:t>
      </w:r>
      <w:r w:rsidR="00F2205E">
        <w:t>Since, t</w:t>
      </w:r>
      <w:r w:rsidR="00157536">
        <w:t xml:space="preserve">he induce </w:t>
      </w:r>
      <w:r w:rsidR="00F2205E">
        <w:t xml:space="preserve">effect </w:t>
      </w:r>
      <w:r w:rsidR="00157536">
        <w:t xml:space="preserve">only </w:t>
      </w:r>
      <w:r w:rsidR="00F2205E">
        <w:t xml:space="preserve">operates </w:t>
      </w:r>
      <w:r w:rsidR="00157536">
        <w:t>on labour income</w:t>
      </w:r>
      <w:r w:rsidR="00F2205E">
        <w:t>, the GDP multiplier is less than the above estimates</w:t>
      </w:r>
      <w:r w:rsidR="00157536">
        <w:t xml:space="preserve">. </w:t>
      </w:r>
      <w:r w:rsidR="00F2205E">
        <w:t>For the ELC sector, l</w:t>
      </w:r>
      <w:r w:rsidR="00157536">
        <w:t>abour income represents 80.6% of direct costs,</w:t>
      </w:r>
      <w:r w:rsidR="00F2205E">
        <w:t xml:space="preserve"> so</w:t>
      </w:r>
      <w:r w:rsidR="00157536">
        <w:t xml:space="preserve"> the impact of the induced effect on GDP is 1.23 (0.806*1.53)</w:t>
      </w:r>
      <w:r w:rsidR="00F2205E">
        <w:t>. In addition, the rise in labour income via</w:t>
      </w:r>
      <w:r w:rsidR="0027096B">
        <w:t xml:space="preserve"> the indirect </w:t>
      </w:r>
      <w:r w:rsidR="00F2205E">
        <w:t>effect</w:t>
      </w:r>
      <w:r w:rsidR="0027096B">
        <w:t xml:space="preserve"> adds </w:t>
      </w:r>
      <w:r w:rsidR="00F2205E">
        <w:t xml:space="preserve">an additional </w:t>
      </w:r>
      <w:r w:rsidR="0027096B">
        <w:t>0.04 (1.42*28,537/1,000,000)</w:t>
      </w:r>
      <w:r w:rsidR="00F2205E">
        <w:t xml:space="preserve"> for a total induced GDP multiplier of 1.27</w:t>
      </w:r>
      <w:r w:rsidR="00157536">
        <w:t xml:space="preserve">. </w:t>
      </w:r>
    </w:p>
    <w:p w:rsidR="0093387D" w:rsidRDefault="005E7F72" w:rsidP="000A583E">
      <w:pPr>
        <w:spacing w:before="120"/>
      </w:pPr>
      <w:r w:rsidRPr="00EA4AC0">
        <w:t xml:space="preserve">The number of jobs created by the induced effect </w:t>
      </w:r>
      <w:r>
        <w:t>i</w:t>
      </w:r>
      <w:r w:rsidRPr="00EA4AC0">
        <w:t xml:space="preserve">s estimated by scaling up the </w:t>
      </w:r>
      <w:r>
        <w:t>labour income</w:t>
      </w:r>
      <w:r w:rsidRPr="00EA4AC0">
        <w:t xml:space="preserve"> effects from the direct and indirect </w:t>
      </w:r>
      <w:r>
        <w:t>rounds</w:t>
      </w:r>
      <w:r w:rsidRPr="00EA4AC0">
        <w:t xml:space="preserve"> </w:t>
      </w:r>
      <w:r>
        <w:t xml:space="preserve">by </w:t>
      </w:r>
      <w:r w:rsidRPr="00EA4AC0">
        <w:t xml:space="preserve">using the multipliers estimated above for the low-wage and </w:t>
      </w:r>
      <w:r>
        <w:t>average</w:t>
      </w:r>
      <w:r w:rsidRPr="00EA4AC0">
        <w:t xml:space="preserve">-wage groups respectively. Further, it was assumed that </w:t>
      </w:r>
      <w:r>
        <w:t>53.3</w:t>
      </w:r>
      <w:r w:rsidRPr="00EA4AC0">
        <w:t xml:space="preserve">% of increase in GDP was </w:t>
      </w:r>
      <w:r w:rsidR="00916FA2">
        <w:t xml:space="preserve">comprised of </w:t>
      </w:r>
      <w:r w:rsidRPr="00EA4AC0">
        <w:t>wages, salaries and supplementary labour income (WSSL)</w:t>
      </w:r>
      <w:r>
        <w:t>, which represents the average share in Nova Scotia from 2006-2008</w:t>
      </w:r>
      <w:r w:rsidRPr="00EA4AC0">
        <w:t>. To estimate the number of jobs that this increase in WSSL represents, the estimate was divi</w:t>
      </w:r>
      <w:r w:rsidR="00916FA2">
        <w:t>ded by the average wage</w:t>
      </w:r>
      <w:r w:rsidRPr="00EA4AC0">
        <w:t xml:space="preserve"> per job</w:t>
      </w:r>
      <w:r>
        <w:t xml:space="preserve"> of </w:t>
      </w:r>
      <w:r w:rsidRPr="00EA4AC0">
        <w:t>$</w:t>
      </w:r>
      <w:r>
        <w:t>37</w:t>
      </w:r>
      <w:r w:rsidRPr="00EA4AC0">
        <w:t>,</w:t>
      </w:r>
      <w:r>
        <w:t>983 plus the average SLI rate of 18.1% or $44,858</w:t>
      </w:r>
      <w:r w:rsidRPr="00EA4AC0">
        <w:t>.</w:t>
      </w:r>
      <w:r w:rsidR="00916FA2">
        <w:t xml:space="preserve"> These calculations produce</w:t>
      </w:r>
      <w:r>
        <w:t xml:space="preserve"> an estimate that 15.1 jobs are created in Nova Scotia as a result of the induced effects.</w:t>
      </w:r>
    </w:p>
    <w:p w:rsidR="00DC3D98" w:rsidRDefault="004E27DB" w:rsidP="00DC3D98">
      <w:pPr>
        <w:pStyle w:val="Heading2"/>
        <w:spacing w:before="240"/>
      </w:pPr>
      <w:bookmarkStart w:id="14" w:name="_Toc283303669"/>
      <w:r>
        <w:lastRenderedPageBreak/>
        <w:t>6</w:t>
      </w:r>
      <w:r w:rsidR="00DC3D98">
        <w:t>. Comparison of Combined Direct, Indirect and Induced Effects</w:t>
      </w:r>
      <w:bookmarkEnd w:id="14"/>
    </w:p>
    <w:p w:rsidR="00DC3D98" w:rsidRDefault="00DC3D98" w:rsidP="00DC3D98">
      <w:pPr>
        <w:spacing w:before="120"/>
      </w:pPr>
      <w:r>
        <w:t xml:space="preserve">To calculate the total potential impact on GDP from an increase in expenditure in the ELC sector, the various effects must be combined. As is discussed in Section </w:t>
      </w:r>
      <w:r w:rsidR="00904F79">
        <w:t>4</w:t>
      </w:r>
      <w:r>
        <w:t>, t</w:t>
      </w:r>
      <w:r w:rsidRPr="00EA4AC0">
        <w:t xml:space="preserve">he direct and indirect </w:t>
      </w:r>
      <w:r>
        <w:t>effect per million dollars of increased expenditure in ELC causes GDP to increase by $952 thousand</w:t>
      </w:r>
      <w:r w:rsidRPr="00EA4AC0">
        <w:t xml:space="preserve">. </w:t>
      </w:r>
      <w:r>
        <w:t>The induced effect provides an additi</w:t>
      </w:r>
      <w:r w:rsidR="00F2205E">
        <w:t>onal increase in GDP of $1,274</w:t>
      </w:r>
      <w:r>
        <w:t xml:space="preserve"> thousand. This means the combined direct, indirect and induced GDP multiplier is 2.23. To put this result into context, t</w:t>
      </w:r>
      <w:r w:rsidRPr="00EA4AC0">
        <w:t xml:space="preserve">he </w:t>
      </w:r>
      <w:r>
        <w:t>GDP multiplier for the ELC sector is compared with the GDP multipliers for other sectors</w:t>
      </w:r>
      <w:r w:rsidRPr="00537860">
        <w:t xml:space="preserve"> </w:t>
      </w:r>
      <w:r>
        <w:t xml:space="preserve">that have high </w:t>
      </w:r>
      <w:r w:rsidR="00F2205E">
        <w:t>type I</w:t>
      </w:r>
      <w:r>
        <w:t xml:space="preserve"> multipliers in Nova Scotia, plus construction and manufacturing</w:t>
      </w:r>
      <w:r w:rsidRPr="00EA4AC0">
        <w:t xml:space="preserve">. </w:t>
      </w:r>
    </w:p>
    <w:p w:rsidR="00DC3D98" w:rsidRDefault="00DC3D98" w:rsidP="00DC3D98">
      <w:pPr>
        <w:spacing w:before="120"/>
      </w:pPr>
      <w:r w:rsidRPr="00EA4AC0">
        <w:t>In order to quantify what the total direct, indirect a</w:t>
      </w:r>
      <w:r w:rsidR="00F72F88">
        <w:t>nd induced effects would be for</w:t>
      </w:r>
      <w:r w:rsidRPr="00EA4AC0">
        <w:t xml:space="preserve"> other industries</w:t>
      </w:r>
      <w:r w:rsidR="00F72F88">
        <w:t xml:space="preserve"> in Nova Scotia</w:t>
      </w:r>
      <w:r w:rsidRPr="00EA4AC0">
        <w:t>, an additional set of calculations were performed to estimate the induced effect. For each industry, the</w:t>
      </w:r>
      <w:r w:rsidR="00F2205E">
        <w:t xml:space="preserve"> labour income effects were calculated from Statistics Canada </w:t>
      </w:r>
      <w:r w:rsidR="005072C3">
        <w:t>IO multiplier estimates for the direct and indirect effects</w:t>
      </w:r>
      <w:r w:rsidRPr="00EA4AC0">
        <w:t>. Since there</w:t>
      </w:r>
      <w:r>
        <w:t xml:space="preserve"> are different leakage rates</w:t>
      </w:r>
      <w:r w:rsidRPr="00EA4AC0">
        <w:t xml:space="preserve"> at different levels of income, th</w:t>
      </w:r>
      <w:r w:rsidR="005072C3">
        <w:t>e</w:t>
      </w:r>
      <w:r w:rsidRPr="00EA4AC0">
        <w:t xml:space="preserve"> wage </w:t>
      </w:r>
      <w:r w:rsidR="005072C3">
        <w:t xml:space="preserve">levels for each industry from the SEPH for 2009 were used to determine </w:t>
      </w:r>
      <w:r>
        <w:t xml:space="preserve">the MPS and </w:t>
      </w:r>
      <w:r w:rsidRPr="00EA4AC0">
        <w:t>tax leakages. For each industry, the personal income tax leakage was estimated based on an extra dollar of income at the average wage for that industry and the resulting increase in personal income tax.</w:t>
      </w:r>
      <w:r w:rsidRPr="00EA4AC0">
        <w:rPr>
          <w:rStyle w:val="FootnoteReference"/>
        </w:rPr>
        <w:footnoteReference w:id="18"/>
      </w:r>
      <w:r w:rsidRPr="00EA4AC0">
        <w:t xml:space="preserve"> </w:t>
      </w:r>
      <w:r w:rsidR="00904F79">
        <w:t>T</w:t>
      </w:r>
      <w:r w:rsidRPr="00EA4AC0">
        <w:t>he average import leakage w</w:t>
      </w:r>
      <w:r w:rsidR="00904F79">
        <w:t>as</w:t>
      </w:r>
      <w:r w:rsidRPr="00EA4AC0">
        <w:t xml:space="preserve"> used to estimate the</w:t>
      </w:r>
      <w:r w:rsidR="00904F79">
        <w:t>se</w:t>
      </w:r>
      <w:r w:rsidRPr="00EA4AC0">
        <w:t xml:space="preserve"> multipliers. </w:t>
      </w:r>
      <w:r w:rsidR="00904F79" w:rsidRPr="00EA4AC0">
        <w:t>Since lower-income workers consume proportionately fewer imported goods per dol</w:t>
      </w:r>
      <w:r w:rsidR="00904F79">
        <w:t xml:space="preserve">lar spent than high-income workers, this assumption has the effect of understating the calculated multiplier for </w:t>
      </w:r>
      <w:r w:rsidRPr="00EA4AC0">
        <w:t>low-</w:t>
      </w:r>
      <w:r>
        <w:t>wage</w:t>
      </w:r>
      <w:r w:rsidRPr="00EA4AC0">
        <w:t xml:space="preserve"> industries</w:t>
      </w:r>
      <w:r w:rsidR="00F72F88">
        <w:t xml:space="preserve"> like ELC</w:t>
      </w:r>
      <w:r w:rsidR="00904F79">
        <w:t xml:space="preserve"> and overstating the calculated multiplier for </w:t>
      </w:r>
      <w:r>
        <w:t>high</w:t>
      </w:r>
      <w:r w:rsidR="00904F79">
        <w:t>-</w:t>
      </w:r>
      <w:r>
        <w:t>wage industries</w:t>
      </w:r>
      <w:r w:rsidRPr="00EA4AC0">
        <w:t>.</w:t>
      </w:r>
      <w:r w:rsidR="00904F79">
        <w:t xml:space="preserve"> This means the multiplier </w:t>
      </w:r>
      <w:r w:rsidR="00F72F88">
        <w:t>estimates are</w:t>
      </w:r>
      <w:r w:rsidR="00904F79">
        <w:t xml:space="preserve"> more conservative </w:t>
      </w:r>
      <w:r w:rsidR="00F72F88">
        <w:t xml:space="preserve">for low-wage compared to </w:t>
      </w:r>
      <w:r w:rsidR="00904F79">
        <w:t>high wage industries.</w:t>
      </w:r>
    </w:p>
    <w:p w:rsidR="00DC3D98" w:rsidRDefault="0023080D" w:rsidP="00321C33">
      <w:pPr>
        <w:spacing w:before="120" w:after="0"/>
      </w:pPr>
      <w:r>
        <w:rPr>
          <w:noProof/>
          <w:lang w:eastAsia="en-CA"/>
        </w:rPr>
        <w:lastRenderedPageBreak/>
        <w:pict>
          <v:shape id="_x0000_s1092" type="#_x0000_t202" style="position:absolute;margin-left:99.45pt;margin-top:59.8pt;width:410.75pt;height:311.7pt;z-index:7;mso-position-horizontal-relative:page;mso-position-vertical-relative:page" o:allowoverlap="f" stroked="f">
            <o:lock v:ext="edit" aspectratio="t"/>
            <v:textbox style="mso-next-textbox:#_x0000_s1092">
              <w:txbxContent>
                <w:p w:rsidR="00657E17" w:rsidRPr="00CD09D1" w:rsidRDefault="00657E17" w:rsidP="00657E17">
                  <w:pPr>
                    <w:spacing w:after="0"/>
                    <w:ind w:left="-181"/>
                    <w:jc w:val="center"/>
                    <w:rPr>
                      <w:b/>
                      <w:sz w:val="24"/>
                    </w:rPr>
                  </w:pPr>
                  <w:r w:rsidRPr="00CD09D1">
                    <w:rPr>
                      <w:b/>
                      <w:sz w:val="24"/>
                    </w:rPr>
                    <w:t xml:space="preserve">Figure </w:t>
                  </w:r>
                  <w:r w:rsidR="004E27DB">
                    <w:rPr>
                      <w:b/>
                      <w:sz w:val="24"/>
                    </w:rPr>
                    <w:t>6</w:t>
                  </w:r>
                  <w:r>
                    <w:rPr>
                      <w:b/>
                      <w:sz w:val="24"/>
                    </w:rPr>
                    <w:t>.1</w:t>
                  </w:r>
                  <w:r w:rsidRPr="00CD09D1">
                    <w:rPr>
                      <w:b/>
                      <w:sz w:val="24"/>
                    </w:rPr>
                    <w:t xml:space="preserve">: </w:t>
                  </w:r>
                  <w:r>
                    <w:rPr>
                      <w:b/>
                      <w:sz w:val="24"/>
                    </w:rPr>
                    <w:t>ELC Provides Largest Short-Term GDP Stimulus</w:t>
                  </w:r>
                </w:p>
                <w:p w:rsidR="00657E17" w:rsidRPr="00477C78" w:rsidRDefault="00C247C0" w:rsidP="00657E17">
                  <w:pPr>
                    <w:ind w:left="-180"/>
                    <w:jc w:val="center"/>
                    <w:rPr>
                      <w:sz w:val="18"/>
                      <w:szCs w:val="18"/>
                    </w:rPr>
                  </w:pPr>
                  <w:r>
                    <w:rPr>
                      <w:noProof/>
                      <w:szCs w:val="18"/>
                      <w:lang w:eastAsia="en-CA"/>
                    </w:rPr>
                    <w:drawing>
                      <wp:inline distT="0" distB="0" distL="0" distR="0">
                        <wp:extent cx="4953000" cy="3600450"/>
                        <wp:effectExtent l="1905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4953000" cy="3600450"/>
                                </a:xfrm>
                                <a:prstGeom prst="rect">
                                  <a:avLst/>
                                </a:prstGeom>
                                <a:noFill/>
                                <a:ln w="9525">
                                  <a:noFill/>
                                  <a:miter lim="800000"/>
                                  <a:headEnd/>
                                  <a:tailEnd/>
                                </a:ln>
                              </pic:spPr>
                            </pic:pic>
                          </a:graphicData>
                        </a:graphic>
                      </wp:inline>
                    </w:drawing>
                  </w:r>
                </w:p>
              </w:txbxContent>
            </v:textbox>
            <w10:wrap type="square" anchorx="page" anchory="page"/>
          </v:shape>
        </w:pict>
      </w:r>
      <w:r w:rsidR="00DC3D98" w:rsidRPr="00EA4AC0">
        <w:t xml:space="preserve">Figure </w:t>
      </w:r>
      <w:r w:rsidR="004E27DB">
        <w:t>6</w:t>
      </w:r>
      <w:r w:rsidR="00DC3D98" w:rsidRPr="00EA4AC0">
        <w:t>.</w:t>
      </w:r>
      <w:r w:rsidR="00DC3D98">
        <w:t>1</w:t>
      </w:r>
      <w:r w:rsidR="00DC3D98" w:rsidRPr="00EA4AC0">
        <w:t xml:space="preserve"> shows </w:t>
      </w:r>
      <w:r w:rsidR="00DC3D98">
        <w:t>that the</w:t>
      </w:r>
      <w:r w:rsidR="00DC3D98" w:rsidRPr="00EA4AC0">
        <w:t xml:space="preserve"> </w:t>
      </w:r>
      <w:r w:rsidR="00DC3D98">
        <w:t xml:space="preserve">total GDP </w:t>
      </w:r>
      <w:r w:rsidR="00DC3D98" w:rsidRPr="00EA4AC0">
        <w:t xml:space="preserve">multiplier for the </w:t>
      </w:r>
      <w:r w:rsidR="00DC3D98">
        <w:t>ELC</w:t>
      </w:r>
      <w:r w:rsidR="00DC3D98" w:rsidRPr="00EA4AC0">
        <w:t xml:space="preserve"> sector is much higher than for the </w:t>
      </w:r>
      <w:r w:rsidR="00DC3D98">
        <w:t xml:space="preserve">other </w:t>
      </w:r>
      <w:r w:rsidR="00DC3D98" w:rsidRPr="00EA4AC0">
        <w:t>major sectors listed. The reason for the high multiplier is t</w:t>
      </w:r>
      <w:r w:rsidR="007F2F5A">
        <w:t>wo-fold. First,</w:t>
      </w:r>
      <w:r w:rsidR="00DC3D98" w:rsidRPr="00EA4AC0">
        <w:t xml:space="preserve"> </w:t>
      </w:r>
      <w:r w:rsidR="00DC3D98">
        <w:t>labour costs</w:t>
      </w:r>
      <w:r w:rsidR="00DC3D98" w:rsidRPr="00EA4AC0">
        <w:t xml:space="preserve"> are a very large share of total costs in the sector</w:t>
      </w:r>
      <w:r w:rsidR="00DC3D98">
        <w:t xml:space="preserve"> so for every dollar increase in output, labour costs rise by over 80 cents</w:t>
      </w:r>
      <w:r w:rsidR="00DC3D98" w:rsidRPr="00EA4AC0">
        <w:t xml:space="preserve">. </w:t>
      </w:r>
      <w:r w:rsidR="007F2F5A">
        <w:t>Second</w:t>
      </w:r>
      <w:r w:rsidR="00DC3D98" w:rsidRPr="00EA4AC0">
        <w:t xml:space="preserve">, </w:t>
      </w:r>
      <w:r w:rsidR="007F2F5A">
        <w:t>t</w:t>
      </w:r>
      <w:r w:rsidR="007F2F5A" w:rsidRPr="00EA4AC0">
        <w:t xml:space="preserve">he </w:t>
      </w:r>
      <w:r w:rsidR="007F2F5A">
        <w:t>existing ELC sector</w:t>
      </w:r>
      <w:r w:rsidR="007F2F5A" w:rsidRPr="00EA4AC0">
        <w:t xml:space="preserve"> has </w:t>
      </w:r>
      <w:r w:rsidR="007F2F5A">
        <w:t xml:space="preserve">low </w:t>
      </w:r>
      <w:r w:rsidR="007F2F5A" w:rsidRPr="00EA4AC0">
        <w:t>wages</w:t>
      </w:r>
      <w:r w:rsidR="007F2F5A">
        <w:t>. This</w:t>
      </w:r>
      <w:r w:rsidR="00DC3D98" w:rsidRPr="00EA4AC0">
        <w:t xml:space="preserve"> mean</w:t>
      </w:r>
      <w:r w:rsidR="007F2F5A">
        <w:t>s</w:t>
      </w:r>
      <w:r w:rsidR="00DC3D98" w:rsidRPr="00EA4AC0">
        <w:t xml:space="preserve"> the induced effect is quite</w:t>
      </w:r>
      <w:r w:rsidR="00DC3D98" w:rsidRPr="00B35EAB">
        <w:t xml:space="preserve"> </w:t>
      </w:r>
      <w:r w:rsidR="00DC3D98" w:rsidRPr="00EA4AC0">
        <w:t>large per dollar increase in wages because the marginal tax rate and the marginal propensity to save</w:t>
      </w:r>
      <w:r w:rsidR="00DC3D98">
        <w:t xml:space="preserve"> </w:t>
      </w:r>
      <w:r w:rsidR="00DC3D98" w:rsidRPr="00EA4AC0">
        <w:t xml:space="preserve">are low. The implication of this analysis is that an expansion of </w:t>
      </w:r>
      <w:r w:rsidR="00DC3D98">
        <w:t>ELC</w:t>
      </w:r>
      <w:r w:rsidR="00DC3D98" w:rsidRPr="00EA4AC0">
        <w:t xml:space="preserve"> output provides considerable short-term stimulus to the economy</w:t>
      </w:r>
      <w:r w:rsidR="005072C3">
        <w:t xml:space="preserve"> that exceeds that for other major sectors of the economy</w:t>
      </w:r>
      <w:r w:rsidR="00DC3D98" w:rsidRPr="00EA4AC0">
        <w:t>.</w:t>
      </w:r>
      <w:r w:rsidR="00DC3D98">
        <w:rPr>
          <w:rStyle w:val="FootnoteReference"/>
        </w:rPr>
        <w:footnoteReference w:id="19"/>
      </w:r>
      <w:r w:rsidR="00042E0C">
        <w:t xml:space="preserve"> </w:t>
      </w:r>
    </w:p>
    <w:tbl>
      <w:tblPr>
        <w:tblpPr w:leftFromText="180" w:rightFromText="180" w:vertAnchor="text" w:horzAnchor="margin" w:tblpXSpec="right" w:tblpY="251"/>
        <w:tblW w:w="9781" w:type="dxa"/>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tblPr>
      <w:tblGrid>
        <w:gridCol w:w="2552"/>
        <w:gridCol w:w="1276"/>
        <w:gridCol w:w="2409"/>
        <w:gridCol w:w="1701"/>
        <w:gridCol w:w="1843"/>
      </w:tblGrid>
      <w:tr w:rsidR="00321C33" w:rsidRPr="00EA4AC0" w:rsidTr="00321C33">
        <w:trPr>
          <w:trHeight w:hRule="exact" w:val="663"/>
        </w:trPr>
        <w:tc>
          <w:tcPr>
            <w:tcW w:w="9781" w:type="dxa"/>
            <w:gridSpan w:val="5"/>
            <w:tcBorders>
              <w:top w:val="single" w:sz="4" w:space="0" w:color="auto"/>
              <w:bottom w:val="single" w:sz="4" w:space="0" w:color="auto"/>
            </w:tcBorders>
            <w:shd w:val="clear" w:color="auto" w:fill="FFFF99"/>
            <w:vAlign w:val="bottom"/>
          </w:tcPr>
          <w:p w:rsidR="00321C33" w:rsidRPr="00D23C55" w:rsidRDefault="00321C33" w:rsidP="004E27DB">
            <w:pPr>
              <w:spacing w:before="60" w:after="0"/>
              <w:jc w:val="center"/>
              <w:rPr>
                <w:b/>
                <w:sz w:val="24"/>
              </w:rPr>
            </w:pPr>
            <w:r w:rsidRPr="00D23C55">
              <w:rPr>
                <w:b/>
                <w:sz w:val="24"/>
              </w:rPr>
              <w:t xml:space="preserve">Table </w:t>
            </w:r>
            <w:r w:rsidR="004E27DB">
              <w:rPr>
                <w:b/>
                <w:sz w:val="24"/>
              </w:rPr>
              <w:t>7</w:t>
            </w:r>
            <w:r w:rsidRPr="00D23C55">
              <w:rPr>
                <w:b/>
                <w:sz w:val="24"/>
              </w:rPr>
              <w:t xml:space="preserve">.1: Effects of </w:t>
            </w:r>
            <w:r>
              <w:rPr>
                <w:b/>
                <w:sz w:val="24"/>
              </w:rPr>
              <w:t>ELC</w:t>
            </w:r>
            <w:r w:rsidRPr="00D23C55">
              <w:rPr>
                <w:b/>
                <w:sz w:val="24"/>
              </w:rPr>
              <w:t xml:space="preserve"> on Mothers’ Labour Supply</w:t>
            </w:r>
          </w:p>
        </w:tc>
      </w:tr>
      <w:tr w:rsidR="00321C33" w:rsidRPr="00EA4AC0" w:rsidTr="00321C33">
        <w:trPr>
          <w:trHeight w:hRule="exact" w:val="340"/>
        </w:trPr>
        <w:tc>
          <w:tcPr>
            <w:tcW w:w="2552" w:type="dxa"/>
            <w:vMerge w:val="restart"/>
            <w:tcBorders>
              <w:top w:val="single" w:sz="4" w:space="0" w:color="auto"/>
              <w:bottom w:val="single" w:sz="4" w:space="0" w:color="auto"/>
              <w:right w:val="single" w:sz="4" w:space="0" w:color="auto"/>
            </w:tcBorders>
            <w:shd w:val="clear" w:color="auto" w:fill="FFFF99"/>
            <w:vAlign w:val="bottom"/>
          </w:tcPr>
          <w:p w:rsidR="00321C33" w:rsidRPr="00D23C55" w:rsidRDefault="00321C33" w:rsidP="00321C33">
            <w:pPr>
              <w:snapToGrid w:val="0"/>
              <w:spacing w:after="60"/>
              <w:rPr>
                <w:sz w:val="20"/>
                <w:szCs w:val="20"/>
              </w:rPr>
            </w:pPr>
            <w:r w:rsidRPr="00D23C55">
              <w:rPr>
                <w:sz w:val="20"/>
                <w:szCs w:val="20"/>
              </w:rPr>
              <w:t>Reference</w:t>
            </w:r>
          </w:p>
        </w:tc>
        <w:tc>
          <w:tcPr>
            <w:tcW w:w="1276" w:type="dxa"/>
            <w:vMerge w:val="restart"/>
            <w:tcBorders>
              <w:top w:val="single" w:sz="4" w:space="0" w:color="auto"/>
              <w:left w:val="single" w:sz="4" w:space="0" w:color="auto"/>
              <w:bottom w:val="nil"/>
              <w:right w:val="single" w:sz="4" w:space="0" w:color="auto"/>
            </w:tcBorders>
            <w:shd w:val="clear" w:color="auto" w:fill="FFFF99"/>
            <w:vAlign w:val="bottom"/>
          </w:tcPr>
          <w:p w:rsidR="00321C33" w:rsidRPr="00D23C55" w:rsidRDefault="00321C33" w:rsidP="00321C33">
            <w:pPr>
              <w:snapToGrid w:val="0"/>
              <w:spacing w:after="60"/>
              <w:jc w:val="right"/>
              <w:rPr>
                <w:sz w:val="20"/>
                <w:szCs w:val="20"/>
              </w:rPr>
            </w:pPr>
            <w:r w:rsidRPr="00D23C55">
              <w:rPr>
                <w:sz w:val="20"/>
                <w:szCs w:val="20"/>
              </w:rPr>
              <w:t>Country</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FFFF99"/>
            <w:vAlign w:val="bottom"/>
          </w:tcPr>
          <w:p w:rsidR="00321C33" w:rsidRPr="00D23C55" w:rsidRDefault="00321C33" w:rsidP="00321C33">
            <w:pPr>
              <w:snapToGrid w:val="0"/>
              <w:spacing w:after="0"/>
              <w:jc w:val="right"/>
              <w:rPr>
                <w:sz w:val="20"/>
                <w:szCs w:val="20"/>
              </w:rPr>
            </w:pPr>
            <w:r w:rsidRPr="00D23C55">
              <w:rPr>
                <w:sz w:val="20"/>
                <w:szCs w:val="20"/>
              </w:rPr>
              <w:t xml:space="preserve">Population Examined  </w:t>
            </w:r>
          </w:p>
          <w:p w:rsidR="00321C33" w:rsidRPr="00D23C55" w:rsidRDefault="00321C33" w:rsidP="00321C33">
            <w:pPr>
              <w:snapToGrid w:val="0"/>
              <w:spacing w:after="60"/>
              <w:jc w:val="right"/>
              <w:rPr>
                <w:sz w:val="20"/>
                <w:szCs w:val="20"/>
              </w:rPr>
            </w:pPr>
            <w:r w:rsidRPr="00D23C55">
              <w:rPr>
                <w:sz w:val="20"/>
                <w:szCs w:val="20"/>
              </w:rPr>
              <w:t>(Age of Youngest Child)</w:t>
            </w:r>
          </w:p>
        </w:tc>
        <w:tc>
          <w:tcPr>
            <w:tcW w:w="3544" w:type="dxa"/>
            <w:gridSpan w:val="2"/>
            <w:tcBorders>
              <w:top w:val="single" w:sz="4" w:space="0" w:color="auto"/>
              <w:left w:val="single" w:sz="4" w:space="0" w:color="auto"/>
              <w:bottom w:val="nil"/>
            </w:tcBorders>
            <w:shd w:val="clear" w:color="auto" w:fill="FFFF99"/>
          </w:tcPr>
          <w:p w:rsidR="00321C33" w:rsidRPr="00D23C55" w:rsidRDefault="00321C33" w:rsidP="00321C33">
            <w:pPr>
              <w:snapToGrid w:val="0"/>
              <w:spacing w:after="0"/>
              <w:jc w:val="center"/>
              <w:rPr>
                <w:sz w:val="20"/>
                <w:szCs w:val="20"/>
              </w:rPr>
            </w:pPr>
            <w:r w:rsidRPr="00D23C55">
              <w:rPr>
                <w:sz w:val="20"/>
                <w:szCs w:val="20"/>
              </w:rPr>
              <w:t>Impact of 1% Increase in Child Care Fees on</w:t>
            </w:r>
          </w:p>
        </w:tc>
      </w:tr>
      <w:tr w:rsidR="00321C33" w:rsidRPr="00EA4AC0" w:rsidTr="00321C33">
        <w:tc>
          <w:tcPr>
            <w:tcW w:w="2552" w:type="dxa"/>
            <w:vMerge/>
            <w:tcBorders>
              <w:top w:val="nil"/>
              <w:bottom w:val="single" w:sz="4" w:space="0" w:color="auto"/>
              <w:right w:val="single" w:sz="4" w:space="0" w:color="auto"/>
            </w:tcBorders>
            <w:shd w:val="clear" w:color="auto" w:fill="FFFF99"/>
            <w:vAlign w:val="bottom"/>
          </w:tcPr>
          <w:p w:rsidR="00321C33" w:rsidRPr="00D23C55" w:rsidRDefault="00321C33" w:rsidP="00321C33">
            <w:pPr>
              <w:spacing w:after="60"/>
              <w:rPr>
                <w:sz w:val="20"/>
                <w:szCs w:val="20"/>
              </w:rPr>
            </w:pPr>
          </w:p>
        </w:tc>
        <w:tc>
          <w:tcPr>
            <w:tcW w:w="1276" w:type="dxa"/>
            <w:vMerge/>
            <w:tcBorders>
              <w:top w:val="nil"/>
              <w:left w:val="single" w:sz="4" w:space="0" w:color="auto"/>
              <w:bottom w:val="single" w:sz="4" w:space="0" w:color="auto"/>
              <w:right w:val="single" w:sz="4" w:space="0" w:color="auto"/>
            </w:tcBorders>
            <w:shd w:val="clear" w:color="auto" w:fill="FFFF99"/>
            <w:vAlign w:val="bottom"/>
          </w:tcPr>
          <w:p w:rsidR="00321C33" w:rsidRPr="00D23C55" w:rsidRDefault="00321C33" w:rsidP="00321C33">
            <w:pPr>
              <w:spacing w:after="60"/>
              <w:jc w:val="right"/>
              <w:rPr>
                <w:sz w:val="20"/>
                <w:szCs w:val="20"/>
              </w:rPr>
            </w:pPr>
          </w:p>
        </w:tc>
        <w:tc>
          <w:tcPr>
            <w:tcW w:w="2409" w:type="dxa"/>
            <w:vMerge/>
            <w:tcBorders>
              <w:top w:val="nil"/>
              <w:left w:val="single" w:sz="4" w:space="0" w:color="auto"/>
              <w:bottom w:val="single" w:sz="4" w:space="0" w:color="auto"/>
              <w:right w:val="single" w:sz="4" w:space="0" w:color="auto"/>
            </w:tcBorders>
            <w:shd w:val="clear" w:color="auto" w:fill="FFFF99"/>
            <w:vAlign w:val="bottom"/>
          </w:tcPr>
          <w:p w:rsidR="00321C33" w:rsidRPr="00D23C55" w:rsidRDefault="00321C33" w:rsidP="00321C33">
            <w:pPr>
              <w:spacing w:after="60"/>
              <w:jc w:val="right"/>
              <w:rPr>
                <w:sz w:val="20"/>
                <w:szCs w:val="20"/>
              </w:rPr>
            </w:pPr>
          </w:p>
        </w:tc>
        <w:tc>
          <w:tcPr>
            <w:tcW w:w="1701" w:type="dxa"/>
            <w:tcBorders>
              <w:top w:val="nil"/>
              <w:left w:val="single" w:sz="4" w:space="0" w:color="auto"/>
              <w:bottom w:val="single" w:sz="4" w:space="0" w:color="auto"/>
            </w:tcBorders>
            <w:shd w:val="clear" w:color="auto" w:fill="FFFF99"/>
          </w:tcPr>
          <w:p w:rsidR="00321C33" w:rsidRPr="00D23C55" w:rsidRDefault="00321C33" w:rsidP="00321C33">
            <w:pPr>
              <w:snapToGrid w:val="0"/>
              <w:spacing w:after="60"/>
              <w:jc w:val="right"/>
              <w:rPr>
                <w:sz w:val="20"/>
                <w:szCs w:val="20"/>
              </w:rPr>
            </w:pPr>
            <w:r w:rsidRPr="00D23C55">
              <w:rPr>
                <w:sz w:val="20"/>
                <w:szCs w:val="20"/>
              </w:rPr>
              <w:t xml:space="preserve">Labour Force Participation </w:t>
            </w:r>
          </w:p>
        </w:tc>
        <w:tc>
          <w:tcPr>
            <w:tcW w:w="1843" w:type="dxa"/>
            <w:tcBorders>
              <w:top w:val="nil"/>
              <w:bottom w:val="single" w:sz="4" w:space="0" w:color="auto"/>
            </w:tcBorders>
            <w:shd w:val="clear" w:color="auto" w:fill="FFFF99"/>
          </w:tcPr>
          <w:p w:rsidR="00321C33" w:rsidRPr="00D23C55" w:rsidRDefault="00321C33" w:rsidP="00321C33">
            <w:pPr>
              <w:snapToGrid w:val="0"/>
              <w:spacing w:after="60"/>
              <w:jc w:val="right"/>
              <w:rPr>
                <w:sz w:val="20"/>
                <w:szCs w:val="20"/>
              </w:rPr>
            </w:pPr>
            <w:r w:rsidRPr="00D23C55">
              <w:rPr>
                <w:sz w:val="20"/>
                <w:szCs w:val="20"/>
              </w:rPr>
              <w:t>Average Hours Worked</w:t>
            </w:r>
          </w:p>
        </w:tc>
      </w:tr>
      <w:tr w:rsidR="00321C33" w:rsidRPr="00EA4AC0" w:rsidTr="00321C33">
        <w:tc>
          <w:tcPr>
            <w:tcW w:w="2552" w:type="dxa"/>
            <w:tcBorders>
              <w:top w:val="single" w:sz="4" w:space="0" w:color="auto"/>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Anderson &amp; Levine (1999)</w:t>
            </w:r>
          </w:p>
        </w:tc>
        <w:tc>
          <w:tcPr>
            <w:tcW w:w="1276" w:type="dxa"/>
            <w:tcBorders>
              <w:top w:val="single" w:sz="4" w:space="0" w:color="auto"/>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single" w:sz="4" w:space="0" w:color="auto"/>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w:t>
            </w:r>
          </w:p>
          <w:p w:rsidR="00321C33" w:rsidRPr="00D23C55" w:rsidRDefault="00321C33" w:rsidP="00321C33">
            <w:pPr>
              <w:spacing w:after="0"/>
              <w:jc w:val="right"/>
              <w:rPr>
                <w:rFonts w:cs="Times New Roman"/>
                <w:sz w:val="18"/>
                <w:szCs w:val="18"/>
              </w:rPr>
            </w:pPr>
            <w:r w:rsidRPr="00D23C55">
              <w:rPr>
                <w:rFonts w:cs="Times New Roman"/>
                <w:sz w:val="18"/>
                <w:szCs w:val="18"/>
              </w:rPr>
              <w:t>Single women</w:t>
            </w:r>
          </w:p>
        </w:tc>
        <w:tc>
          <w:tcPr>
            <w:tcW w:w="1701" w:type="dxa"/>
            <w:tcBorders>
              <w:top w:val="single" w:sz="4" w:space="0" w:color="auto"/>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-0.92 to 0.00</w:t>
            </w:r>
          </w:p>
          <w:p w:rsidR="00321C33" w:rsidRPr="00D23C55" w:rsidRDefault="00321C33" w:rsidP="00321C33">
            <w:pPr>
              <w:spacing w:after="0"/>
              <w:jc w:val="right"/>
              <w:rPr>
                <w:rFonts w:cs="Times New Roman"/>
                <w:sz w:val="18"/>
                <w:szCs w:val="18"/>
              </w:rPr>
            </w:pPr>
            <w:r w:rsidRPr="00D23C55">
              <w:rPr>
                <w:rFonts w:cs="Times New Roman"/>
                <w:sz w:val="18"/>
                <w:szCs w:val="18"/>
              </w:rPr>
              <w:t>-0.50 to 0.00</w:t>
            </w:r>
          </w:p>
        </w:tc>
        <w:tc>
          <w:tcPr>
            <w:tcW w:w="1843" w:type="dxa"/>
            <w:tcBorders>
              <w:top w:val="single" w:sz="4" w:space="0" w:color="auto"/>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Blau &amp; Hagy (1998)</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Pr>
                <w:rFonts w:cs="Times New Roman"/>
                <w:sz w:val="18"/>
                <w:szCs w:val="18"/>
              </w:rPr>
              <w:t>Married &amp;</w:t>
            </w:r>
            <w:r w:rsidRPr="00D23C55">
              <w:rPr>
                <w:rFonts w:cs="Times New Roman"/>
                <w:sz w:val="18"/>
                <w:szCs w:val="18"/>
              </w:rPr>
              <w:t xml:space="preserve"> single mothers (&lt;7)</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-0.20</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Blau &amp; Robins (1988)</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(&lt;14)</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-0.38</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Connelly (1992)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(&lt;13)</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-0.20</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Ribar (1992)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(&lt;15)</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-0.74 to -0.64</w:t>
            </w:r>
          </w:p>
        </w:tc>
      </w:tr>
      <w:tr w:rsidR="00321C33" w:rsidRPr="00EA4AC0" w:rsidTr="00321C33">
        <w:trPr>
          <w:trHeight w:val="329"/>
        </w:trPr>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lastRenderedPageBreak/>
              <w:t>Ribar (1995)</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(&lt;15)</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-0.024 to -0.088</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Powell (1997)</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Canada</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(&lt;6)</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-0.38</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-0.32</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Powell (2002)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Canada</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(&lt;7)</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-0.16</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Michalopoulos &amp; Robins (2000)</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Canada &amp; 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mothers (&lt;5)</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-0.156</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Michalopoulos &amp; Robins (2002)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Canada &amp; 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Single parents (&lt;5)</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-0.26</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Kornstad &amp; Thoresen (2002)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Norway</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(1-2)</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-0.12</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-0.14</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 xml:space="preserve">Choné </w:t>
            </w:r>
            <w:r w:rsidRPr="00D23C55">
              <w:rPr>
                <w:rFonts w:cs="Times New Roman"/>
                <w:i/>
                <w:iCs/>
                <w:sz w:val="18"/>
                <w:szCs w:val="18"/>
              </w:rPr>
              <w:t>et al.</w:t>
            </w:r>
            <w:r w:rsidRPr="00D23C55">
              <w:rPr>
                <w:rFonts w:cs="Times New Roman"/>
                <w:sz w:val="18"/>
                <w:szCs w:val="18"/>
              </w:rPr>
              <w:t xml:space="preserve"> (2003)</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France</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(&lt;3)</w:t>
            </w:r>
          </w:p>
          <w:p w:rsidR="00321C33" w:rsidRPr="00D23C55" w:rsidRDefault="00321C33" w:rsidP="00321C33">
            <w:pPr>
              <w:spacing w:after="0"/>
              <w:jc w:val="right"/>
              <w:rPr>
                <w:rFonts w:cs="Times New Roman"/>
                <w:sz w:val="18"/>
                <w:szCs w:val="18"/>
              </w:rPr>
            </w:pPr>
            <w:r w:rsidRPr="00D23C55">
              <w:rPr>
                <w:rFonts w:cs="Times New Roman"/>
                <w:sz w:val="18"/>
                <w:szCs w:val="18"/>
              </w:rPr>
              <w:t>Married women (&lt;7)</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-0.01</w:t>
            </w:r>
          </w:p>
          <w:p w:rsidR="00321C33" w:rsidRPr="00D23C55" w:rsidRDefault="00321C33" w:rsidP="00321C33">
            <w:pPr>
              <w:spacing w:after="0"/>
              <w:jc w:val="right"/>
              <w:rPr>
                <w:rFonts w:cs="Times New Roman"/>
                <w:sz w:val="18"/>
                <w:szCs w:val="18"/>
              </w:rPr>
            </w:pPr>
            <w:r w:rsidRPr="00D23C55">
              <w:rPr>
                <w:rFonts w:cs="Times New Roman"/>
                <w:sz w:val="18"/>
                <w:szCs w:val="18"/>
              </w:rPr>
              <w:t>-0.01</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-0.02</w:t>
            </w:r>
          </w:p>
          <w:p w:rsidR="00321C33" w:rsidRPr="00D23C55" w:rsidRDefault="00321C33" w:rsidP="00321C33">
            <w:pPr>
              <w:spacing w:after="0"/>
              <w:jc w:val="right"/>
              <w:rPr>
                <w:rFonts w:cs="Times New Roman"/>
                <w:sz w:val="18"/>
                <w:szCs w:val="18"/>
              </w:rPr>
            </w:pPr>
            <w:r w:rsidRPr="00D23C55">
              <w:rPr>
                <w:rFonts w:cs="Times New Roman"/>
                <w:sz w:val="18"/>
                <w:szCs w:val="18"/>
              </w:rPr>
              <w:t>-0.01</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Oishi (2002)</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Japan</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(&lt;7)</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-0.60</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Wrohlich (2004)</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Germany</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(&lt;6)</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-0.03 (east)</w:t>
            </w:r>
          </w:p>
          <w:p w:rsidR="00321C33" w:rsidRPr="00D23C55" w:rsidRDefault="00321C33" w:rsidP="00321C33">
            <w:pPr>
              <w:spacing w:after="0"/>
              <w:jc w:val="right"/>
              <w:rPr>
                <w:rFonts w:cs="Times New Roman"/>
                <w:sz w:val="18"/>
                <w:szCs w:val="18"/>
              </w:rPr>
            </w:pPr>
            <w:r w:rsidRPr="00D23C55">
              <w:rPr>
                <w:rFonts w:cs="Times New Roman"/>
                <w:sz w:val="18"/>
                <w:szCs w:val="18"/>
              </w:rPr>
              <w:t>-0.07 (west)</w:t>
            </w: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-0.04 (east)</w:t>
            </w:r>
          </w:p>
          <w:p w:rsidR="00321C33" w:rsidRPr="00D23C55" w:rsidRDefault="00321C33" w:rsidP="00321C33">
            <w:pPr>
              <w:spacing w:after="0"/>
              <w:jc w:val="right"/>
              <w:rPr>
                <w:rFonts w:cs="Times New Roman"/>
                <w:sz w:val="18"/>
                <w:szCs w:val="18"/>
              </w:rPr>
            </w:pPr>
            <w:r w:rsidRPr="00D23C55">
              <w:rPr>
                <w:rFonts w:cs="Times New Roman"/>
                <w:sz w:val="18"/>
                <w:szCs w:val="18"/>
              </w:rPr>
              <w:t>-0.09 (west)</w:t>
            </w:r>
          </w:p>
        </w:tc>
      </w:tr>
      <w:tr w:rsidR="00321C33" w:rsidRPr="00EA4AC0" w:rsidTr="00321C33">
        <w:tc>
          <w:tcPr>
            <w:tcW w:w="2552" w:type="dxa"/>
            <w:tcBorders>
              <w:top w:val="nil"/>
              <w:bottom w:val="nil"/>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 xml:space="preserve">Averett </w:t>
            </w:r>
            <w:r w:rsidRPr="00D23C55">
              <w:rPr>
                <w:rFonts w:cs="Times New Roman"/>
                <w:i/>
                <w:iCs/>
                <w:sz w:val="18"/>
                <w:szCs w:val="18"/>
              </w:rPr>
              <w:t>et al.</w:t>
            </w:r>
            <w:r w:rsidRPr="00D23C55">
              <w:rPr>
                <w:rFonts w:cs="Times New Roman"/>
                <w:sz w:val="18"/>
                <w:szCs w:val="18"/>
              </w:rPr>
              <w:t xml:space="preserve"> (1997)</w:t>
            </w:r>
          </w:p>
        </w:tc>
        <w:tc>
          <w:tcPr>
            <w:tcW w:w="1276"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U.S.</w:t>
            </w:r>
          </w:p>
        </w:tc>
        <w:tc>
          <w:tcPr>
            <w:tcW w:w="2409" w:type="dxa"/>
            <w:tcBorders>
              <w:top w:val="nil"/>
              <w:left w:val="single" w:sz="4" w:space="0" w:color="auto"/>
              <w:bottom w:val="nil"/>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 (&lt;6)</w:t>
            </w:r>
          </w:p>
        </w:tc>
        <w:tc>
          <w:tcPr>
            <w:tcW w:w="1701" w:type="dxa"/>
            <w:tcBorders>
              <w:left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p>
        </w:tc>
        <w:tc>
          <w:tcPr>
            <w:tcW w:w="1843" w:type="dxa"/>
            <w:tcBorders>
              <w:top w:val="nil"/>
              <w:left w:val="single" w:sz="4" w:space="0" w:color="auto"/>
              <w:bottom w:val="nil"/>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-0.78</w:t>
            </w:r>
          </w:p>
        </w:tc>
      </w:tr>
      <w:tr w:rsidR="00321C33" w:rsidRPr="00EA4AC0" w:rsidTr="00321C33">
        <w:tc>
          <w:tcPr>
            <w:tcW w:w="2552" w:type="dxa"/>
            <w:tcBorders>
              <w:top w:val="nil"/>
              <w:bottom w:val="single" w:sz="4" w:space="0" w:color="auto"/>
              <w:right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Graafland (2000)</w:t>
            </w:r>
          </w:p>
        </w:tc>
        <w:tc>
          <w:tcPr>
            <w:tcW w:w="1276" w:type="dxa"/>
            <w:tcBorders>
              <w:left w:val="single" w:sz="4" w:space="0" w:color="auto"/>
              <w:bottom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Netherlands</w:t>
            </w:r>
          </w:p>
        </w:tc>
        <w:tc>
          <w:tcPr>
            <w:tcW w:w="2409" w:type="dxa"/>
            <w:tcBorders>
              <w:top w:val="nil"/>
              <w:left w:val="single" w:sz="4" w:space="0" w:color="auto"/>
              <w:bottom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Married women</w:t>
            </w:r>
          </w:p>
        </w:tc>
        <w:tc>
          <w:tcPr>
            <w:tcW w:w="1701" w:type="dxa"/>
            <w:tcBorders>
              <w:left w:val="single" w:sz="4" w:space="0" w:color="auto"/>
              <w:bottom w:val="single" w:sz="4" w:space="0" w:color="auto"/>
              <w:right w:val="single" w:sz="4" w:space="0" w:color="auto"/>
            </w:tcBorders>
          </w:tcPr>
          <w:p w:rsidR="00321C33" w:rsidRPr="00D23C55" w:rsidRDefault="00321C33" w:rsidP="00321C33">
            <w:pPr>
              <w:snapToGrid w:val="0"/>
              <w:spacing w:after="0"/>
              <w:jc w:val="right"/>
              <w:rPr>
                <w:rFonts w:cs="Times New Roman"/>
                <w:sz w:val="18"/>
                <w:szCs w:val="18"/>
              </w:rPr>
            </w:pPr>
            <w:r w:rsidRPr="00D23C55">
              <w:rPr>
                <w:rFonts w:cs="Times New Roman"/>
                <w:sz w:val="18"/>
                <w:szCs w:val="18"/>
              </w:rPr>
              <w:t>-0.15</w:t>
            </w:r>
          </w:p>
        </w:tc>
        <w:tc>
          <w:tcPr>
            <w:tcW w:w="1843" w:type="dxa"/>
            <w:tcBorders>
              <w:top w:val="nil"/>
              <w:left w:val="single" w:sz="4" w:space="0" w:color="auto"/>
              <w:bottom w:val="single" w:sz="4" w:space="0" w:color="auto"/>
            </w:tcBorders>
          </w:tcPr>
          <w:p w:rsidR="00321C33" w:rsidRPr="00D23C55" w:rsidRDefault="00321C33" w:rsidP="00321C33">
            <w:pPr>
              <w:snapToGrid w:val="0"/>
              <w:spacing w:after="0"/>
              <w:jc w:val="right"/>
              <w:rPr>
                <w:rFonts w:cs="Times New Roman"/>
                <w:sz w:val="18"/>
                <w:szCs w:val="18"/>
              </w:rPr>
            </w:pPr>
          </w:p>
        </w:tc>
      </w:tr>
      <w:tr w:rsidR="00321C33" w:rsidRPr="00EA4AC0" w:rsidTr="00321C33">
        <w:tc>
          <w:tcPr>
            <w:tcW w:w="9781" w:type="dxa"/>
            <w:gridSpan w:val="5"/>
            <w:tcBorders>
              <w:top w:val="single" w:sz="4" w:space="0" w:color="auto"/>
              <w:bottom w:val="single" w:sz="4" w:space="0" w:color="auto"/>
            </w:tcBorders>
          </w:tcPr>
          <w:p w:rsidR="00321C33" w:rsidRPr="00D23C55" w:rsidRDefault="00321C33" w:rsidP="00321C33">
            <w:pPr>
              <w:snapToGrid w:val="0"/>
              <w:spacing w:after="0"/>
              <w:rPr>
                <w:rFonts w:cs="Times New Roman"/>
                <w:sz w:val="18"/>
                <w:szCs w:val="18"/>
              </w:rPr>
            </w:pPr>
            <w:r w:rsidRPr="00D23C55">
              <w:rPr>
                <w:rFonts w:cs="Times New Roman"/>
                <w:sz w:val="18"/>
                <w:szCs w:val="18"/>
              </w:rPr>
              <w:t>Sources: Doiron and Kalb (2005); Kalb (2007).</w:t>
            </w:r>
          </w:p>
        </w:tc>
      </w:tr>
    </w:tbl>
    <w:p w:rsidR="002833B2" w:rsidRDefault="004E27DB" w:rsidP="00C7027E">
      <w:pPr>
        <w:pStyle w:val="Heading2"/>
        <w:spacing w:before="240"/>
      </w:pPr>
      <w:bookmarkStart w:id="15" w:name="_Toc283303670"/>
      <w:r>
        <w:t>7</w:t>
      </w:r>
      <w:r w:rsidR="002833B2">
        <w:t xml:space="preserve">. Mothers’ Labour Supply </w:t>
      </w:r>
      <w:r w:rsidR="009E4A82">
        <w:t xml:space="preserve">and Total Employment </w:t>
      </w:r>
      <w:r w:rsidR="002833B2">
        <w:t>Effect</w:t>
      </w:r>
      <w:r w:rsidR="009E4A82">
        <w:t>s</w:t>
      </w:r>
      <w:bookmarkEnd w:id="15"/>
    </w:p>
    <w:p w:rsidR="001E4DF4" w:rsidRDefault="00D665EB" w:rsidP="00D665EB">
      <w:r>
        <w:t>A number of researchers</w:t>
      </w:r>
      <w:r w:rsidR="007D4D92">
        <w:t xml:space="preserve"> </w:t>
      </w:r>
      <w:r>
        <w:t>have examined</w:t>
      </w:r>
      <w:r w:rsidR="007D4D92">
        <w:t xml:space="preserve"> the impact of the </w:t>
      </w:r>
      <w:r w:rsidR="000D78AD">
        <w:t xml:space="preserve">price </w:t>
      </w:r>
      <w:r w:rsidR="001E4DF4">
        <w:t xml:space="preserve">and availability </w:t>
      </w:r>
      <w:r w:rsidR="007D4D92">
        <w:t xml:space="preserve">of ELC on </w:t>
      </w:r>
      <w:r w:rsidR="00237D6C" w:rsidRPr="00EA4AC0">
        <w:t>mothers’ supply</w:t>
      </w:r>
      <w:r w:rsidR="00A74F15">
        <w:t xml:space="preserve"> of labour</w:t>
      </w:r>
      <w:r w:rsidR="00237D6C" w:rsidRPr="00EA4AC0">
        <w:t>. Th</w:t>
      </w:r>
      <w:r w:rsidR="00A74F15">
        <w:t>is</w:t>
      </w:r>
      <w:r w:rsidR="00237D6C" w:rsidRPr="00EA4AC0">
        <w:t xml:space="preserve"> literature agrees that </w:t>
      </w:r>
      <w:r w:rsidR="00A74F15">
        <w:t xml:space="preserve">a </w:t>
      </w:r>
      <w:r w:rsidR="00237D6C" w:rsidRPr="00EA4AC0">
        <w:t xml:space="preserve">higher </w:t>
      </w:r>
      <w:r w:rsidR="00A74F15">
        <w:t xml:space="preserve">fee for </w:t>
      </w:r>
      <w:r w:rsidR="00237D6C">
        <w:t>child care lower</w:t>
      </w:r>
      <w:r w:rsidR="007D4D92">
        <w:t>s</w:t>
      </w:r>
      <w:r w:rsidR="00237D6C" w:rsidRPr="00EA4AC0">
        <w:t xml:space="preserve"> a mother’s </w:t>
      </w:r>
      <w:r w:rsidR="0042231E">
        <w:t>tendency</w:t>
      </w:r>
      <w:r w:rsidR="00237D6C" w:rsidRPr="00EA4AC0">
        <w:t xml:space="preserve"> </w:t>
      </w:r>
      <w:r w:rsidR="00A74F15">
        <w:t xml:space="preserve">to </w:t>
      </w:r>
      <w:r w:rsidR="007D4D92">
        <w:t>use child care and supply labour</w:t>
      </w:r>
      <w:r w:rsidR="00237D6C" w:rsidRPr="00EA4AC0">
        <w:t xml:space="preserve">. The estimated response of mothers’ labour supply to a 1% increase in program fees ranges widely, from 0.0% to -0.92% (see Table </w:t>
      </w:r>
      <w:r w:rsidR="004E27DB">
        <w:t>7</w:t>
      </w:r>
      <w:r w:rsidR="00237D6C" w:rsidRPr="00EA4AC0">
        <w:t>.1). This means that a 1% increase in fees could decrease the mother’s labour supply by as much as 0.92%.</w:t>
      </w:r>
      <w:r w:rsidR="001E4DF4">
        <w:t xml:space="preserve"> </w:t>
      </w:r>
      <w:r w:rsidR="00A74F15">
        <w:t>L</w:t>
      </w:r>
      <w:r w:rsidR="00237D6C">
        <w:t xml:space="preserve">abour supply is </w:t>
      </w:r>
      <w:r w:rsidR="00A74F15">
        <w:t>comprised of</w:t>
      </w:r>
      <w:r w:rsidR="00237D6C">
        <w:t xml:space="preserve"> two components</w:t>
      </w:r>
      <w:r w:rsidR="00237D6C" w:rsidRPr="00EA4AC0">
        <w:t>: participation rates and average hours worked.</w:t>
      </w:r>
      <w:r w:rsidR="00237D6C">
        <w:t xml:space="preserve"> </w:t>
      </w:r>
      <w:r w:rsidR="00237D6C" w:rsidRPr="00EA4AC0">
        <w:t xml:space="preserve">Generally </w:t>
      </w:r>
      <w:r w:rsidR="00A74F15">
        <w:t xml:space="preserve">it is found that </w:t>
      </w:r>
      <w:r w:rsidR="007D4D92" w:rsidRPr="00EA4AC0">
        <w:t>average ho</w:t>
      </w:r>
      <w:r w:rsidR="007D4D92">
        <w:t>urs</w:t>
      </w:r>
      <w:r w:rsidR="00A74F15">
        <w:t xml:space="preserve"> worked </w:t>
      </w:r>
      <w:r w:rsidR="0042231E">
        <w:t>responds more</w:t>
      </w:r>
      <w:r w:rsidR="00A74F15">
        <w:t xml:space="preserve"> than </w:t>
      </w:r>
      <w:r w:rsidR="00A74F15" w:rsidRPr="00EA4AC0">
        <w:t>participation</w:t>
      </w:r>
      <w:r w:rsidR="00A74F15">
        <w:t xml:space="preserve"> </w:t>
      </w:r>
      <w:r w:rsidR="0042231E">
        <w:t xml:space="preserve">rates </w:t>
      </w:r>
      <w:r w:rsidR="00A74F15">
        <w:t>to changes in child care fees</w:t>
      </w:r>
      <w:r w:rsidR="00237D6C" w:rsidRPr="00EA4AC0">
        <w:t xml:space="preserve">. </w:t>
      </w:r>
    </w:p>
    <w:p w:rsidR="00237D6C" w:rsidRDefault="001E4DF4" w:rsidP="00F72F88">
      <w:pPr>
        <w:rPr>
          <w:color w:val="000000"/>
        </w:rPr>
      </w:pPr>
      <w:r>
        <w:t>T</w:t>
      </w:r>
      <w:r w:rsidR="00237D6C" w:rsidRPr="00EA4AC0">
        <w:t xml:space="preserve">here is a tendency for labour supply responses to be larger in non-European countries (Canada, the U.S. and Japan) than in European countries, particularly in some continental European countries. This may be due to </w:t>
      </w:r>
      <w:r w:rsidR="00A74F15">
        <w:t xml:space="preserve">the </w:t>
      </w:r>
      <w:r w:rsidR="00237D6C" w:rsidRPr="00EA4AC0">
        <w:t xml:space="preserve">availability of </w:t>
      </w:r>
      <w:r w:rsidR="00237D6C">
        <w:t>ELC</w:t>
      </w:r>
      <w:r w:rsidR="00237D6C" w:rsidRPr="00EA4AC0">
        <w:t>. For example, German researchers Kreyenfeld and Hank (1999) and Italian researchers Del Boca and Vuri (2005) argue that availability is more important than affordability in Germany and Italy.</w:t>
      </w:r>
      <w:r w:rsidR="00237D6C" w:rsidRPr="00EA4AC0">
        <w:rPr>
          <w:rStyle w:val="FootnoteReference"/>
        </w:rPr>
        <w:footnoteReference w:id="20"/>
      </w:r>
      <w:r w:rsidR="00237D6C" w:rsidRPr="00EA4AC0">
        <w:rPr>
          <w:color w:val="000000"/>
        </w:rPr>
        <w:t xml:space="preserve"> </w:t>
      </w:r>
      <w:r w:rsidR="00136A6F">
        <w:rPr>
          <w:color w:val="000000"/>
        </w:rPr>
        <w:t>Canada is not immune</w:t>
      </w:r>
      <w:r w:rsidR="001B2506">
        <w:rPr>
          <w:color w:val="000000"/>
        </w:rPr>
        <w:t xml:space="preserve"> from this dynamic</w:t>
      </w:r>
      <w:r w:rsidR="00136A6F">
        <w:rPr>
          <w:color w:val="000000"/>
        </w:rPr>
        <w:t xml:space="preserve">. </w:t>
      </w:r>
      <w:r w:rsidR="001B2506">
        <w:rPr>
          <w:color w:val="000000"/>
        </w:rPr>
        <w:t xml:space="preserve">The </w:t>
      </w:r>
      <w:r w:rsidR="00136A6F">
        <w:rPr>
          <w:color w:val="000000"/>
        </w:rPr>
        <w:t>OECD (2004)</w:t>
      </w:r>
      <w:r w:rsidR="001B2506">
        <w:rPr>
          <w:color w:val="000000"/>
        </w:rPr>
        <w:t>, for example,</w:t>
      </w:r>
      <w:r w:rsidR="00136A6F">
        <w:rPr>
          <w:color w:val="000000"/>
        </w:rPr>
        <w:t xml:space="preserve"> indicates that Canada is affected by a lack of availability of child care spaces.</w:t>
      </w:r>
    </w:p>
    <w:p w:rsidR="00F72F88" w:rsidRDefault="00F72F88" w:rsidP="00F72F88">
      <w:r>
        <w:t xml:space="preserve">To estimate the impact of increased availability of child care spaces on mothers’ labour supply, a number of assumptions are needed. The calculations are made consistent with the effects described in the </w:t>
      </w:r>
      <w:r w:rsidR="007E0E90">
        <w:t>fourth</w:t>
      </w:r>
      <w:r>
        <w:t xml:space="preserve"> section, by using the estimated direct employment effect. This means there are 31 jobs or 24.5 FTE per million dollars invested in ELC. It is assumed that these jobs are for early childhood educators (ECEs). One ECE provides services to several children. The number of children per staff and group size are regulated by the provincial government. See Table </w:t>
      </w:r>
      <w:r w:rsidR="004E27DB">
        <w:t>7</w:t>
      </w:r>
      <w:r>
        <w:t>.2 for the staff:child ratios for child care centres in the province by age of the children. It is assumed that these ratios remain in force.</w:t>
      </w:r>
      <w:r w:rsidRPr="001E4DF4">
        <w:t xml:space="preserve"> </w:t>
      </w:r>
      <w:r>
        <w:t xml:space="preserve">Also it is assumed that the increase in staff is proportionate to the number of child care spaces and the staff:child ratios for these age groups. This means the distribution of child care spaces by age remains the same and that the implied aggregate child:staff ratio remains at 7.9 children per ECE. </w:t>
      </w:r>
    </w:p>
    <w:p w:rsidR="00321C33" w:rsidRPr="00B525A7" w:rsidRDefault="00F72F88" w:rsidP="00321C33">
      <w:r w:rsidRPr="00EA4AC0">
        <w:t>Using the a</w:t>
      </w:r>
      <w:r>
        <w:t>ge distribution of child care spaces</w:t>
      </w:r>
      <w:r w:rsidRPr="00EA4AC0">
        <w:t xml:space="preserve"> and </w:t>
      </w:r>
      <w:r>
        <w:t xml:space="preserve">Nova Scotia’s </w:t>
      </w:r>
      <w:r w:rsidRPr="00EA4AC0">
        <w:t>child/staff ratios, one c</w:t>
      </w:r>
      <w:r>
        <w:t xml:space="preserve">an calculate that an </w:t>
      </w:r>
      <w:r w:rsidRPr="00EA4AC0">
        <w:t xml:space="preserve">extra </w:t>
      </w:r>
      <w:r>
        <w:t>24.5</w:t>
      </w:r>
      <w:r w:rsidRPr="00EA4AC0">
        <w:t xml:space="preserve"> </w:t>
      </w:r>
      <w:r>
        <w:t>FTE ECEs would support over 193 child care spaces (</w:t>
      </w:r>
      <w:r w:rsidR="00C246A4">
        <w:t>s</w:t>
      </w:r>
      <w:r>
        <w:t xml:space="preserve">ee Table </w:t>
      </w:r>
      <w:r w:rsidR="00C246A4">
        <w:t>7</w:t>
      </w:r>
      <w:r>
        <w:t>.2)</w:t>
      </w:r>
      <w:r w:rsidRPr="00EA4AC0">
        <w:t xml:space="preserve">. </w:t>
      </w:r>
      <w:r>
        <w:t>O</w:t>
      </w:r>
      <w:r w:rsidRPr="00EA4AC0">
        <w:t xml:space="preserve">f these </w:t>
      </w:r>
      <w:r>
        <w:t xml:space="preserve">spaces, 139 </w:t>
      </w:r>
      <w:r w:rsidRPr="00EA4AC0">
        <w:t>are full-time spaces</w:t>
      </w:r>
      <w:r>
        <w:t xml:space="preserve"> for children 0-5 years, 39.5 are part-time spaces for children 3 to 5 years, and 14.8 are part-time spaces for children 6-12 years. If half of the children put into full-</w:t>
      </w:r>
      <w:r w:rsidR="00321C33" w:rsidRPr="00321C33">
        <w:t xml:space="preserve"> </w:t>
      </w:r>
      <w:r w:rsidR="00321C33">
        <w:t>time spaces are in full-time care</w:t>
      </w:r>
      <w:r w:rsidR="00321C33" w:rsidRPr="00EA4AC0">
        <w:t xml:space="preserve">, then there would be </w:t>
      </w:r>
      <w:r w:rsidR="00321C33">
        <w:t>69.5</w:t>
      </w:r>
      <w:r w:rsidR="00321C33" w:rsidRPr="00EA4AC0">
        <w:t xml:space="preserve"> children </w:t>
      </w:r>
      <w:r w:rsidR="00321C33">
        <w:t>aged 0-5 in full-time care.</w:t>
      </w:r>
      <w:r w:rsidR="00321C33" w:rsidRPr="00EA4AC0">
        <w:t xml:space="preserve"> </w:t>
      </w:r>
      <w:r w:rsidR="00321C33">
        <w:t xml:space="preserve">For </w:t>
      </w:r>
      <w:r w:rsidR="00321C33">
        <w:lastRenderedPageBreak/>
        <w:t>older children, the time they spend in elementary school must be taken into account. If half of the children aged 6-12 in part-time child care are in school and child care full time (school plus child care</w:t>
      </w:r>
      <w:r w:rsidR="00321C33" w:rsidRPr="009B14E9">
        <w:t xml:space="preserve"> </w:t>
      </w:r>
      <w:r w:rsidR="00321C33">
        <w:t>hours), then there would be 7.4 children in full-time care. It is assumed that none of the</w:t>
      </w:r>
      <w:r w:rsidR="00321C33" w:rsidRPr="00527D49">
        <w:t xml:space="preserve"> </w:t>
      </w:r>
      <w:r w:rsidR="00321C33">
        <w:t>children 0-5 who are in part-time child care are in school and child care full-time.</w:t>
      </w:r>
    </w:p>
    <w:p w:rsidR="00321C33" w:rsidRDefault="00321C33" w:rsidP="00321C33">
      <w:pPr>
        <w:spacing w:before="120"/>
      </w:pPr>
      <w:r w:rsidRPr="00EA4AC0">
        <w:t xml:space="preserve"> It is assumed that for every extra </w:t>
      </w:r>
      <w:r>
        <w:t xml:space="preserve">child in </w:t>
      </w:r>
      <w:r w:rsidRPr="00EA4AC0">
        <w:t>full-time care 0.</w:t>
      </w:r>
      <w:r>
        <w:t>22</w:t>
      </w:r>
      <w:r w:rsidRPr="00EA4AC0">
        <w:t xml:space="preserve"> mothers work full-time—a number extrapolated from Cleveland and Krashinsky’s (1998) analysis.</w:t>
      </w:r>
      <w:r>
        <w:t xml:space="preserve"> The result of these calculations is that there would be 16.9 mothers who would work full-time ((139+14.8)*0.5*0.22) per million dollars invested in child care. </w:t>
      </w:r>
    </w:p>
    <w:p w:rsidR="00F72F88" w:rsidRDefault="00321C33" w:rsidP="00321C33">
      <w:pPr>
        <w:rPr>
          <w:color w:val="000000"/>
        </w:rPr>
      </w:pPr>
      <w:r>
        <w:t>The implication of this analysis is that an increase in expenditure in the ELC sector would increase the number of ECEs working, which would boost the number of child care spaces available. The</w:t>
      </w:r>
    </w:p>
    <w:p w:rsidR="00527D49" w:rsidRDefault="00527D49" w:rsidP="00527D49">
      <w:r>
        <w:t xml:space="preserve"> </w:t>
      </w:r>
    </w:p>
    <w:tbl>
      <w:tblPr>
        <w:tblpPr w:leftFromText="180" w:rightFromText="180" w:vertAnchor="text" w:horzAnchor="margin" w:tblpXSpec="center" w:tblpY="-135"/>
        <w:tblW w:w="0" w:type="auto"/>
        <w:tblLook w:val="04A0"/>
      </w:tblPr>
      <w:tblGrid>
        <w:gridCol w:w="1583"/>
        <w:gridCol w:w="1268"/>
        <w:gridCol w:w="1261"/>
        <w:gridCol w:w="1011"/>
        <w:gridCol w:w="852"/>
        <w:gridCol w:w="1689"/>
      </w:tblGrid>
      <w:tr w:rsidR="00527D49" w:rsidRPr="006500E5" w:rsidTr="007E746A">
        <w:trPr>
          <w:trHeight w:val="315"/>
        </w:trPr>
        <w:tc>
          <w:tcPr>
            <w:tcW w:w="0" w:type="auto"/>
            <w:gridSpan w:val="6"/>
            <w:tcBorders>
              <w:top w:val="single" w:sz="8" w:space="0" w:color="auto"/>
              <w:left w:val="single" w:sz="8" w:space="0" w:color="auto"/>
              <w:bottom w:val="nil"/>
              <w:right w:val="single" w:sz="8" w:space="0" w:color="auto"/>
            </w:tcBorders>
            <w:shd w:val="clear" w:color="000000" w:fill="FFFF99"/>
            <w:noWrap/>
            <w:vAlign w:val="bottom"/>
            <w:hideMark/>
          </w:tcPr>
          <w:p w:rsidR="00527D49" w:rsidRPr="006500E5" w:rsidRDefault="00527D49" w:rsidP="004E27DB">
            <w:pPr>
              <w:spacing w:before="120"/>
              <w:jc w:val="center"/>
              <w:rPr>
                <w:rFonts w:cs="Times New Roman"/>
                <w:b/>
                <w:bCs/>
                <w:color w:val="000000"/>
                <w:sz w:val="24"/>
                <w:lang w:eastAsia="en-CA"/>
              </w:rPr>
            </w:pPr>
            <w:r w:rsidRPr="006500E5">
              <w:rPr>
                <w:rFonts w:cs="Times New Roman"/>
                <w:b/>
                <w:bCs/>
                <w:color w:val="000000"/>
                <w:sz w:val="24"/>
                <w:lang w:eastAsia="en-CA"/>
              </w:rPr>
              <w:t xml:space="preserve">Table </w:t>
            </w:r>
            <w:r w:rsidR="004E27DB">
              <w:rPr>
                <w:rFonts w:cs="Times New Roman"/>
                <w:b/>
                <w:bCs/>
                <w:color w:val="000000"/>
                <w:sz w:val="24"/>
                <w:lang w:eastAsia="en-CA"/>
              </w:rPr>
              <w:t>7</w:t>
            </w:r>
            <w:r w:rsidRPr="006500E5">
              <w:rPr>
                <w:rFonts w:cs="Times New Roman"/>
                <w:b/>
                <w:bCs/>
                <w:color w:val="000000"/>
                <w:sz w:val="24"/>
                <w:lang w:eastAsia="en-CA"/>
              </w:rPr>
              <w:t xml:space="preserve">.2 </w:t>
            </w:r>
            <w:r>
              <w:rPr>
                <w:rFonts w:cs="Times New Roman"/>
                <w:b/>
                <w:bCs/>
                <w:color w:val="000000"/>
                <w:sz w:val="24"/>
                <w:lang w:eastAsia="en-CA"/>
              </w:rPr>
              <w:t>Mothers’ Labour Supply Effects</w:t>
            </w:r>
          </w:p>
        </w:tc>
      </w:tr>
      <w:tr w:rsidR="00527D49" w:rsidRPr="006500E5" w:rsidTr="007E746A">
        <w:trPr>
          <w:trHeight w:val="315"/>
        </w:trPr>
        <w:tc>
          <w:tcPr>
            <w:tcW w:w="0" w:type="auto"/>
            <w:tcBorders>
              <w:top w:val="nil"/>
              <w:left w:val="single" w:sz="8" w:space="0" w:color="auto"/>
              <w:bottom w:val="single" w:sz="8" w:space="0" w:color="auto"/>
            </w:tcBorders>
            <w:shd w:val="clear" w:color="000000" w:fill="FFFF99"/>
            <w:noWrap/>
            <w:vAlign w:val="bottom"/>
            <w:hideMark/>
          </w:tcPr>
          <w:p w:rsidR="00527D49" w:rsidRPr="006500E5" w:rsidRDefault="00527D49" w:rsidP="00527D49">
            <w:pPr>
              <w:spacing w:after="0"/>
              <w:rPr>
                <w:rFonts w:cs="Times New Roman"/>
                <w:b/>
                <w:bCs/>
                <w:color w:val="000000"/>
                <w:sz w:val="20"/>
                <w:szCs w:val="20"/>
                <w:lang w:eastAsia="en-CA"/>
              </w:rPr>
            </w:pPr>
            <w:r w:rsidRPr="006500E5">
              <w:rPr>
                <w:rFonts w:cs="Times New Roman"/>
                <w:b/>
                <w:bCs/>
                <w:color w:val="000000"/>
                <w:sz w:val="20"/>
                <w:szCs w:val="20"/>
                <w:lang w:eastAsia="en-CA"/>
              </w:rPr>
              <w:t>Age of Children</w:t>
            </w:r>
          </w:p>
        </w:tc>
        <w:tc>
          <w:tcPr>
            <w:tcW w:w="0" w:type="auto"/>
            <w:tcBorders>
              <w:top w:val="nil"/>
              <w:bottom w:val="single" w:sz="8" w:space="0" w:color="auto"/>
            </w:tcBorders>
            <w:shd w:val="clear" w:color="000000" w:fill="FFFF99"/>
            <w:noWrap/>
            <w:vAlign w:val="bottom"/>
            <w:hideMark/>
          </w:tcPr>
          <w:p w:rsidR="00527D49" w:rsidRDefault="00527D49" w:rsidP="00527D49">
            <w:pPr>
              <w:spacing w:after="0"/>
              <w:jc w:val="right"/>
              <w:rPr>
                <w:rFonts w:cs="Times New Roman"/>
                <w:b/>
                <w:bCs/>
                <w:color w:val="000000"/>
                <w:szCs w:val="22"/>
                <w:lang w:eastAsia="en-CA"/>
              </w:rPr>
            </w:pPr>
            <w:r w:rsidRPr="006500E5">
              <w:rPr>
                <w:rFonts w:cs="Times New Roman"/>
                <w:b/>
                <w:bCs/>
                <w:color w:val="000000"/>
                <w:szCs w:val="22"/>
                <w:lang w:eastAsia="en-CA"/>
              </w:rPr>
              <w:t xml:space="preserve">Staff:Child </w:t>
            </w:r>
          </w:p>
          <w:p w:rsidR="00527D49" w:rsidRPr="006500E5" w:rsidRDefault="00527D49" w:rsidP="00527D49">
            <w:pPr>
              <w:spacing w:after="0"/>
              <w:jc w:val="right"/>
              <w:rPr>
                <w:rFonts w:cs="Times New Roman"/>
                <w:b/>
                <w:bCs/>
                <w:color w:val="000000"/>
                <w:szCs w:val="22"/>
                <w:lang w:eastAsia="en-CA"/>
              </w:rPr>
            </w:pPr>
            <w:r w:rsidRPr="006500E5">
              <w:rPr>
                <w:rFonts w:cs="Times New Roman"/>
                <w:b/>
                <w:bCs/>
                <w:color w:val="000000"/>
                <w:szCs w:val="22"/>
                <w:lang w:eastAsia="en-CA"/>
              </w:rPr>
              <w:t>Ratio</w:t>
            </w:r>
          </w:p>
        </w:tc>
        <w:tc>
          <w:tcPr>
            <w:tcW w:w="0" w:type="auto"/>
            <w:tcBorders>
              <w:top w:val="nil"/>
              <w:bottom w:val="single" w:sz="8" w:space="0" w:color="auto"/>
            </w:tcBorders>
            <w:shd w:val="clear" w:color="000000" w:fill="FFFF99"/>
            <w:noWrap/>
            <w:vAlign w:val="bottom"/>
            <w:hideMark/>
          </w:tcPr>
          <w:p w:rsidR="00527D49"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 xml:space="preserve">Child Care </w:t>
            </w:r>
          </w:p>
          <w:p w:rsidR="00527D49" w:rsidRPr="006500E5"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Spaces</w:t>
            </w:r>
          </w:p>
        </w:tc>
        <w:tc>
          <w:tcPr>
            <w:tcW w:w="0" w:type="auto"/>
            <w:tcBorders>
              <w:top w:val="nil"/>
              <w:bottom w:val="single" w:sz="8" w:space="0" w:color="auto"/>
            </w:tcBorders>
            <w:shd w:val="clear" w:color="000000" w:fill="FFFF99"/>
            <w:noWrap/>
            <w:vAlign w:val="bottom"/>
            <w:hideMark/>
          </w:tcPr>
          <w:p w:rsidR="00527D49"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 xml:space="preserve">Increase </w:t>
            </w:r>
          </w:p>
          <w:p w:rsidR="00527D49" w:rsidRPr="006500E5"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In</w:t>
            </w:r>
            <w:r>
              <w:rPr>
                <w:rFonts w:cs="Times New Roman"/>
                <w:b/>
                <w:color w:val="000000"/>
                <w:szCs w:val="22"/>
                <w:lang w:eastAsia="en-CA"/>
              </w:rPr>
              <w:t xml:space="preserve"> </w:t>
            </w:r>
            <w:r w:rsidRPr="006500E5">
              <w:rPr>
                <w:rFonts w:cs="Times New Roman"/>
                <w:b/>
                <w:color w:val="000000"/>
                <w:szCs w:val="22"/>
                <w:lang w:eastAsia="en-CA"/>
              </w:rPr>
              <w:t>Staff</w:t>
            </w:r>
          </w:p>
        </w:tc>
        <w:tc>
          <w:tcPr>
            <w:tcW w:w="0" w:type="auto"/>
            <w:tcBorders>
              <w:top w:val="nil"/>
              <w:bottom w:val="single" w:sz="8" w:space="0" w:color="auto"/>
            </w:tcBorders>
            <w:shd w:val="clear" w:color="000000" w:fill="FFFF99"/>
            <w:noWrap/>
            <w:vAlign w:val="bottom"/>
            <w:hideMark/>
          </w:tcPr>
          <w:p w:rsidR="00527D49"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 xml:space="preserve">New </w:t>
            </w:r>
          </w:p>
          <w:p w:rsidR="00527D49" w:rsidRPr="006500E5"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Spaces</w:t>
            </w:r>
          </w:p>
        </w:tc>
        <w:tc>
          <w:tcPr>
            <w:tcW w:w="0" w:type="auto"/>
            <w:tcBorders>
              <w:top w:val="nil"/>
              <w:bottom w:val="single" w:sz="8" w:space="0" w:color="auto"/>
              <w:right w:val="single" w:sz="8" w:space="0" w:color="auto"/>
            </w:tcBorders>
            <w:shd w:val="clear" w:color="000000" w:fill="FFFF99"/>
            <w:noWrap/>
            <w:vAlign w:val="bottom"/>
            <w:hideMark/>
          </w:tcPr>
          <w:p w:rsidR="00527D49" w:rsidRDefault="00527D49" w:rsidP="00527D49">
            <w:pPr>
              <w:spacing w:after="0"/>
              <w:jc w:val="right"/>
              <w:rPr>
                <w:rFonts w:cs="Times New Roman"/>
                <w:b/>
                <w:color w:val="000000"/>
                <w:szCs w:val="22"/>
                <w:lang w:eastAsia="en-CA"/>
              </w:rPr>
            </w:pPr>
            <w:r>
              <w:rPr>
                <w:rFonts w:cs="Times New Roman"/>
                <w:b/>
                <w:color w:val="000000"/>
                <w:szCs w:val="22"/>
                <w:lang w:eastAsia="en-CA"/>
              </w:rPr>
              <w:t>Δ</w:t>
            </w:r>
            <w:r w:rsidRPr="00EC7053">
              <w:rPr>
                <w:rFonts w:cs="Times New Roman"/>
                <w:b/>
                <w:color w:val="000000"/>
                <w:szCs w:val="22"/>
                <w:lang w:eastAsia="en-CA"/>
              </w:rPr>
              <w:t>Mothers</w:t>
            </w:r>
            <w:r>
              <w:rPr>
                <w:rFonts w:cs="Times New Roman"/>
                <w:b/>
                <w:color w:val="000000"/>
                <w:szCs w:val="22"/>
                <w:lang w:eastAsia="en-CA"/>
              </w:rPr>
              <w:t>’</w:t>
            </w:r>
            <w:r w:rsidRPr="00EC7053">
              <w:rPr>
                <w:rFonts w:cs="Times New Roman"/>
                <w:b/>
                <w:color w:val="000000"/>
                <w:szCs w:val="22"/>
                <w:lang w:eastAsia="en-CA"/>
              </w:rPr>
              <w:t xml:space="preserve"> </w:t>
            </w:r>
          </w:p>
          <w:p w:rsidR="00527D49" w:rsidRPr="006500E5" w:rsidRDefault="00527D49" w:rsidP="00527D49">
            <w:pPr>
              <w:spacing w:after="0"/>
              <w:jc w:val="right"/>
              <w:rPr>
                <w:rFonts w:cs="Times New Roman"/>
                <w:b/>
                <w:color w:val="000000"/>
                <w:szCs w:val="22"/>
                <w:lang w:eastAsia="en-CA"/>
              </w:rPr>
            </w:pPr>
            <w:r w:rsidRPr="006500E5">
              <w:rPr>
                <w:rFonts w:cs="Times New Roman"/>
                <w:b/>
                <w:color w:val="000000"/>
                <w:szCs w:val="22"/>
                <w:lang w:eastAsia="en-CA"/>
              </w:rPr>
              <w:t>Full-time</w:t>
            </w:r>
            <w:r w:rsidRPr="00EC7053">
              <w:rPr>
                <w:rFonts w:cs="Times New Roman"/>
                <w:b/>
                <w:color w:val="000000"/>
                <w:szCs w:val="22"/>
                <w:lang w:eastAsia="en-CA"/>
              </w:rPr>
              <w:t xml:space="preserve"> Work</w:t>
            </w:r>
          </w:p>
        </w:tc>
      </w:tr>
      <w:tr w:rsidR="00527D49" w:rsidRPr="006500E5" w:rsidTr="007E746A">
        <w:trPr>
          <w:trHeight w:val="300"/>
        </w:trPr>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0-17</w:t>
            </w:r>
            <w:r>
              <w:rPr>
                <w:rFonts w:cs="Times New Roman"/>
                <w:color w:val="000000"/>
                <w:sz w:val="20"/>
                <w:szCs w:val="20"/>
                <w:lang w:eastAsia="en-CA"/>
              </w:rPr>
              <w:t xml:space="preserve"> mths</w:t>
            </w:r>
          </w:p>
        </w:tc>
        <w:tc>
          <w:tcPr>
            <w:tcW w:w="0" w:type="auto"/>
            <w:tcBorders>
              <w:top w:val="single" w:sz="8" w:space="0" w:color="auto"/>
              <w:left w:val="single" w:sz="8" w:space="0" w:color="auto"/>
              <w:bottom w:val="nil"/>
            </w:tcBorders>
            <w:shd w:val="clear" w:color="000000" w:fill="FFFFFF"/>
            <w:noWrap/>
            <w:vAlign w:val="bottom"/>
            <w:hideMark/>
          </w:tcPr>
          <w:p w:rsidR="00527D49" w:rsidRPr="006500E5" w:rsidRDefault="00527D49" w:rsidP="00527D49">
            <w:pPr>
              <w:spacing w:after="0"/>
              <w:jc w:val="right"/>
              <w:rPr>
                <w:rFonts w:cs="Times New Roman"/>
                <w:sz w:val="20"/>
                <w:szCs w:val="20"/>
                <w:lang w:eastAsia="en-CA"/>
              </w:rPr>
            </w:pPr>
            <w:r w:rsidRPr="006500E5">
              <w:rPr>
                <w:rFonts w:cs="Times New Roman"/>
                <w:sz w:val="20"/>
                <w:szCs w:val="20"/>
                <w:lang w:eastAsia="en-CA"/>
              </w:rPr>
              <w:t>1:4</w:t>
            </w:r>
          </w:p>
        </w:tc>
        <w:tc>
          <w:tcPr>
            <w:tcW w:w="0" w:type="auto"/>
            <w:tcBorders>
              <w:top w:val="single" w:sz="8" w:space="0" w:color="auto"/>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501</w:t>
            </w:r>
          </w:p>
        </w:tc>
        <w:tc>
          <w:tcPr>
            <w:tcW w:w="0" w:type="auto"/>
            <w:tcBorders>
              <w:top w:val="single" w:sz="8" w:space="0" w:color="auto"/>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2.0</w:t>
            </w:r>
          </w:p>
        </w:tc>
        <w:tc>
          <w:tcPr>
            <w:tcW w:w="0" w:type="auto"/>
            <w:tcBorders>
              <w:top w:val="single" w:sz="8" w:space="0" w:color="auto"/>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8.2</w:t>
            </w:r>
          </w:p>
        </w:tc>
        <w:tc>
          <w:tcPr>
            <w:tcW w:w="0" w:type="auto"/>
            <w:tcBorders>
              <w:top w:val="single" w:sz="8" w:space="0" w:color="auto"/>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Pr>
                <w:rFonts w:cs="Times New Roman"/>
                <w:color w:val="000000"/>
                <w:sz w:val="20"/>
                <w:szCs w:val="20"/>
                <w:lang w:eastAsia="en-CA"/>
              </w:rPr>
              <w:t>0.9</w:t>
            </w:r>
          </w:p>
        </w:tc>
      </w:tr>
      <w:tr w:rsidR="00527D49" w:rsidRPr="006500E5" w:rsidTr="007E746A">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18-35</w:t>
            </w:r>
            <w:r>
              <w:rPr>
                <w:rFonts w:cs="Times New Roman"/>
                <w:color w:val="000000"/>
                <w:sz w:val="20"/>
                <w:szCs w:val="20"/>
                <w:lang w:eastAsia="en-CA"/>
              </w:rPr>
              <w:t xml:space="preserve"> mths</w:t>
            </w:r>
          </w:p>
        </w:tc>
        <w:tc>
          <w:tcPr>
            <w:tcW w:w="0" w:type="auto"/>
            <w:tcBorders>
              <w:top w:val="nil"/>
              <w:left w:val="single" w:sz="8" w:space="0" w:color="auto"/>
              <w:bottom w:val="nil"/>
            </w:tcBorders>
            <w:shd w:val="clear" w:color="000000" w:fill="FFFFFF"/>
            <w:noWrap/>
            <w:vAlign w:val="bottom"/>
            <w:hideMark/>
          </w:tcPr>
          <w:p w:rsidR="00527D49" w:rsidRPr="006500E5" w:rsidRDefault="00527D49" w:rsidP="00527D49">
            <w:pPr>
              <w:spacing w:after="0"/>
              <w:jc w:val="right"/>
              <w:rPr>
                <w:rFonts w:cs="Times New Roman"/>
                <w:sz w:val="20"/>
                <w:szCs w:val="20"/>
                <w:lang w:eastAsia="en-CA"/>
              </w:rPr>
            </w:pPr>
            <w:r w:rsidRPr="006500E5">
              <w:rPr>
                <w:rFonts w:cs="Times New Roman"/>
                <w:sz w:val="20"/>
                <w:szCs w:val="20"/>
                <w:lang w:eastAsia="en-CA"/>
              </w:rPr>
              <w:t>1:6</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2675</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7.3</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43.7</w:t>
            </w:r>
          </w:p>
        </w:tc>
        <w:tc>
          <w:tcPr>
            <w:tcW w:w="0" w:type="auto"/>
            <w:tcBorders>
              <w:top w:val="nil"/>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Pr>
                <w:rFonts w:cs="Times New Roman"/>
                <w:color w:val="000000"/>
                <w:sz w:val="20"/>
                <w:szCs w:val="20"/>
                <w:lang w:eastAsia="en-CA"/>
              </w:rPr>
              <w:t>4</w:t>
            </w:r>
            <w:r w:rsidRPr="006500E5">
              <w:rPr>
                <w:rFonts w:cs="Times New Roman"/>
                <w:color w:val="000000"/>
                <w:sz w:val="20"/>
                <w:szCs w:val="20"/>
                <w:lang w:eastAsia="en-CA"/>
              </w:rPr>
              <w:t>.</w:t>
            </w:r>
            <w:r>
              <w:rPr>
                <w:rFonts w:cs="Times New Roman"/>
                <w:color w:val="000000"/>
                <w:sz w:val="20"/>
                <w:szCs w:val="20"/>
                <w:lang w:eastAsia="en-CA"/>
              </w:rPr>
              <w:t>8</w:t>
            </w:r>
          </w:p>
        </w:tc>
      </w:tr>
      <w:tr w:rsidR="00527D49" w:rsidRPr="006500E5" w:rsidTr="007E746A">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36-60</w:t>
            </w:r>
            <w:r>
              <w:rPr>
                <w:rFonts w:cs="Times New Roman"/>
                <w:color w:val="000000"/>
                <w:sz w:val="20"/>
                <w:szCs w:val="20"/>
                <w:lang w:eastAsia="en-CA"/>
              </w:rPr>
              <w:t xml:space="preserve"> mths</w:t>
            </w:r>
          </w:p>
        </w:tc>
        <w:tc>
          <w:tcPr>
            <w:tcW w:w="0" w:type="auto"/>
            <w:tcBorders>
              <w:top w:val="nil"/>
              <w:left w:val="single" w:sz="8" w:space="0" w:color="auto"/>
              <w:bottom w:val="nil"/>
            </w:tcBorders>
            <w:shd w:val="clear" w:color="000000" w:fill="FFFFFF"/>
            <w:noWrap/>
            <w:vAlign w:val="bottom"/>
            <w:hideMark/>
          </w:tcPr>
          <w:p w:rsidR="00527D49" w:rsidRPr="006500E5" w:rsidRDefault="00527D49" w:rsidP="00527D49">
            <w:pPr>
              <w:spacing w:after="0"/>
              <w:jc w:val="right"/>
              <w:rPr>
                <w:rFonts w:cs="Times New Roman"/>
                <w:sz w:val="20"/>
                <w:szCs w:val="20"/>
                <w:lang w:eastAsia="en-CA"/>
              </w:rPr>
            </w:pPr>
            <w:r w:rsidRPr="006500E5">
              <w:rPr>
                <w:rFonts w:cs="Times New Roman"/>
                <w:sz w:val="20"/>
                <w:szCs w:val="20"/>
                <w:lang w:eastAsia="en-CA"/>
              </w:rPr>
              <w:t>1:8</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5323</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10.9</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87.1</w:t>
            </w:r>
          </w:p>
        </w:tc>
        <w:tc>
          <w:tcPr>
            <w:tcW w:w="0" w:type="auto"/>
            <w:tcBorders>
              <w:top w:val="nil"/>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9.</w:t>
            </w:r>
            <w:r>
              <w:rPr>
                <w:rFonts w:cs="Times New Roman"/>
                <w:color w:val="000000"/>
                <w:sz w:val="20"/>
                <w:szCs w:val="20"/>
                <w:lang w:eastAsia="en-CA"/>
              </w:rPr>
              <w:t>6</w:t>
            </w:r>
          </w:p>
        </w:tc>
      </w:tr>
      <w:tr w:rsidR="00527D49" w:rsidRPr="006500E5" w:rsidTr="007E746A">
        <w:trPr>
          <w:trHeight w:val="300"/>
        </w:trPr>
        <w:tc>
          <w:tcPr>
            <w:tcW w:w="0" w:type="auto"/>
            <w:tcBorders>
              <w:top w:val="nil"/>
              <w:left w:val="single" w:sz="8" w:space="0" w:color="auto"/>
              <w:bottom w:val="nil"/>
              <w:right w:val="single" w:sz="8" w:space="0" w:color="auto"/>
            </w:tcBorders>
            <w:shd w:val="clear" w:color="auto" w:fill="auto"/>
            <w:noWrap/>
            <w:vAlign w:val="bottom"/>
            <w:hideMark/>
          </w:tcPr>
          <w:p w:rsidR="00527D49"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 xml:space="preserve">36-60 </w:t>
            </w:r>
            <w:r>
              <w:rPr>
                <w:rFonts w:cs="Times New Roman"/>
                <w:color w:val="000000"/>
                <w:sz w:val="20"/>
                <w:szCs w:val="20"/>
                <w:lang w:eastAsia="en-CA"/>
              </w:rPr>
              <w:t xml:space="preserve">mths </w:t>
            </w:r>
          </w:p>
          <w:p w:rsidR="00527D49" w:rsidRPr="006500E5" w:rsidRDefault="00527D49" w:rsidP="00527D49">
            <w:pPr>
              <w:spacing w:after="0"/>
              <w:jc w:val="right"/>
              <w:rPr>
                <w:rFonts w:cs="Times New Roman"/>
                <w:color w:val="000000"/>
                <w:sz w:val="20"/>
                <w:szCs w:val="20"/>
                <w:lang w:eastAsia="en-CA"/>
              </w:rPr>
            </w:pPr>
            <w:r>
              <w:rPr>
                <w:rFonts w:cs="Times New Roman"/>
                <w:color w:val="000000"/>
                <w:sz w:val="20"/>
                <w:szCs w:val="20"/>
                <w:lang w:eastAsia="en-CA"/>
              </w:rPr>
              <w:t>(</w:t>
            </w:r>
            <w:r w:rsidRPr="006500E5">
              <w:rPr>
                <w:rFonts w:cs="Times New Roman"/>
                <w:color w:val="000000"/>
                <w:sz w:val="20"/>
                <w:szCs w:val="20"/>
                <w:lang w:eastAsia="en-CA"/>
              </w:rPr>
              <w:t>part day</w:t>
            </w:r>
            <w:r>
              <w:rPr>
                <w:rFonts w:cs="Times New Roman"/>
                <w:color w:val="000000"/>
                <w:sz w:val="20"/>
                <w:szCs w:val="20"/>
                <w:lang w:eastAsia="en-CA"/>
              </w:rPr>
              <w:t>)</w:t>
            </w:r>
          </w:p>
        </w:tc>
        <w:tc>
          <w:tcPr>
            <w:tcW w:w="0" w:type="auto"/>
            <w:tcBorders>
              <w:top w:val="nil"/>
              <w:left w:val="single" w:sz="8" w:space="0" w:color="auto"/>
              <w:bottom w:val="nil"/>
            </w:tcBorders>
            <w:shd w:val="clear" w:color="000000" w:fill="FFFFFF"/>
            <w:noWrap/>
            <w:vAlign w:val="bottom"/>
            <w:hideMark/>
          </w:tcPr>
          <w:p w:rsidR="00527D49" w:rsidRPr="006500E5" w:rsidRDefault="00527D49" w:rsidP="00527D49">
            <w:pPr>
              <w:spacing w:after="0"/>
              <w:jc w:val="right"/>
              <w:rPr>
                <w:rFonts w:cs="Times New Roman"/>
                <w:sz w:val="20"/>
                <w:szCs w:val="20"/>
                <w:lang w:eastAsia="en-CA"/>
              </w:rPr>
            </w:pPr>
            <w:r w:rsidRPr="006500E5">
              <w:rPr>
                <w:rFonts w:cs="Times New Roman"/>
                <w:sz w:val="20"/>
                <w:szCs w:val="20"/>
                <w:lang w:eastAsia="en-CA"/>
              </w:rPr>
              <w:t>1:12</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2414</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3.3</w:t>
            </w:r>
          </w:p>
        </w:tc>
        <w:tc>
          <w:tcPr>
            <w:tcW w:w="0" w:type="auto"/>
            <w:tcBorders>
              <w:top w:val="nil"/>
              <w:bottom w:val="nil"/>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39.5</w:t>
            </w:r>
          </w:p>
        </w:tc>
        <w:tc>
          <w:tcPr>
            <w:tcW w:w="0" w:type="auto"/>
            <w:tcBorders>
              <w:top w:val="nil"/>
              <w:bottom w:val="nil"/>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0.0</w:t>
            </w:r>
          </w:p>
        </w:tc>
      </w:tr>
      <w:tr w:rsidR="00527D49" w:rsidRPr="006500E5" w:rsidTr="007E746A">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6-12 yrs</w:t>
            </w:r>
          </w:p>
        </w:tc>
        <w:tc>
          <w:tcPr>
            <w:tcW w:w="0" w:type="auto"/>
            <w:tcBorders>
              <w:top w:val="nil"/>
              <w:left w:val="single" w:sz="8" w:space="0" w:color="auto"/>
              <w:bottom w:val="single" w:sz="8" w:space="0" w:color="auto"/>
            </w:tcBorders>
            <w:shd w:val="clear" w:color="000000" w:fill="FFFFFF"/>
            <w:noWrap/>
            <w:vAlign w:val="bottom"/>
            <w:hideMark/>
          </w:tcPr>
          <w:p w:rsidR="00527D49" w:rsidRPr="006500E5" w:rsidRDefault="00527D49" w:rsidP="00527D49">
            <w:pPr>
              <w:spacing w:after="0"/>
              <w:jc w:val="right"/>
              <w:rPr>
                <w:rFonts w:cs="Times New Roman"/>
                <w:sz w:val="20"/>
                <w:szCs w:val="20"/>
                <w:lang w:eastAsia="en-CA"/>
              </w:rPr>
            </w:pPr>
            <w:r w:rsidRPr="006500E5">
              <w:rPr>
                <w:rFonts w:cs="Times New Roman"/>
                <w:sz w:val="20"/>
                <w:szCs w:val="20"/>
                <w:lang w:eastAsia="en-CA"/>
              </w:rPr>
              <w:t>1:15</w:t>
            </w:r>
          </w:p>
        </w:tc>
        <w:tc>
          <w:tcPr>
            <w:tcW w:w="0" w:type="auto"/>
            <w:tcBorders>
              <w:top w:val="nil"/>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907</w:t>
            </w:r>
          </w:p>
        </w:tc>
        <w:tc>
          <w:tcPr>
            <w:tcW w:w="0" w:type="auto"/>
            <w:tcBorders>
              <w:top w:val="nil"/>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1.0</w:t>
            </w:r>
          </w:p>
        </w:tc>
        <w:tc>
          <w:tcPr>
            <w:tcW w:w="0" w:type="auto"/>
            <w:tcBorders>
              <w:top w:val="nil"/>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14.8</w:t>
            </w:r>
          </w:p>
        </w:tc>
        <w:tc>
          <w:tcPr>
            <w:tcW w:w="0" w:type="auto"/>
            <w:tcBorders>
              <w:top w:val="nil"/>
              <w:bottom w:val="single" w:sz="8" w:space="0" w:color="auto"/>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Pr>
                <w:rFonts w:cs="Times New Roman"/>
                <w:color w:val="000000"/>
                <w:sz w:val="20"/>
                <w:szCs w:val="20"/>
                <w:lang w:eastAsia="en-CA"/>
              </w:rPr>
              <w:t>1</w:t>
            </w:r>
            <w:r w:rsidRPr="006500E5">
              <w:rPr>
                <w:rFonts w:cs="Times New Roman"/>
                <w:color w:val="000000"/>
                <w:sz w:val="20"/>
                <w:szCs w:val="20"/>
                <w:lang w:eastAsia="en-CA"/>
              </w:rPr>
              <w:t>.</w:t>
            </w:r>
            <w:r>
              <w:rPr>
                <w:rFonts w:cs="Times New Roman"/>
                <w:color w:val="000000"/>
                <w:sz w:val="20"/>
                <w:szCs w:val="20"/>
                <w:lang w:eastAsia="en-CA"/>
              </w:rPr>
              <w:t>6</w:t>
            </w:r>
          </w:p>
        </w:tc>
      </w:tr>
      <w:tr w:rsidR="00527D49" w:rsidRPr="006500E5" w:rsidTr="007E746A">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Total</w:t>
            </w:r>
          </w:p>
        </w:tc>
        <w:tc>
          <w:tcPr>
            <w:tcW w:w="0" w:type="auto"/>
            <w:tcBorders>
              <w:top w:val="single" w:sz="8" w:space="0" w:color="auto"/>
              <w:left w:val="single" w:sz="8" w:space="0" w:color="auto"/>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1:7.9</w:t>
            </w:r>
          </w:p>
        </w:tc>
        <w:tc>
          <w:tcPr>
            <w:tcW w:w="0" w:type="auto"/>
            <w:tcBorders>
              <w:top w:val="single" w:sz="8" w:space="0" w:color="auto"/>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11820</w:t>
            </w:r>
          </w:p>
        </w:tc>
        <w:tc>
          <w:tcPr>
            <w:tcW w:w="0" w:type="auto"/>
            <w:tcBorders>
              <w:top w:val="single" w:sz="8" w:space="0" w:color="auto"/>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24.5</w:t>
            </w:r>
          </w:p>
        </w:tc>
        <w:tc>
          <w:tcPr>
            <w:tcW w:w="0" w:type="auto"/>
            <w:tcBorders>
              <w:top w:val="single" w:sz="8" w:space="0" w:color="auto"/>
              <w:bottom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sidRPr="006500E5">
              <w:rPr>
                <w:rFonts w:cs="Times New Roman"/>
                <w:color w:val="000000"/>
                <w:sz w:val="20"/>
                <w:szCs w:val="20"/>
                <w:lang w:eastAsia="en-CA"/>
              </w:rPr>
              <w:t>193.3</w:t>
            </w:r>
          </w:p>
        </w:tc>
        <w:tc>
          <w:tcPr>
            <w:tcW w:w="0" w:type="auto"/>
            <w:tcBorders>
              <w:top w:val="single" w:sz="8" w:space="0" w:color="auto"/>
              <w:bottom w:val="single" w:sz="8" w:space="0" w:color="auto"/>
              <w:right w:val="single" w:sz="8" w:space="0" w:color="auto"/>
            </w:tcBorders>
            <w:shd w:val="clear" w:color="auto" w:fill="auto"/>
            <w:noWrap/>
            <w:vAlign w:val="bottom"/>
            <w:hideMark/>
          </w:tcPr>
          <w:p w:rsidR="00527D49" w:rsidRPr="006500E5" w:rsidRDefault="00527D49" w:rsidP="00527D49">
            <w:pPr>
              <w:spacing w:after="0"/>
              <w:jc w:val="right"/>
              <w:rPr>
                <w:rFonts w:cs="Times New Roman"/>
                <w:color w:val="000000"/>
                <w:sz w:val="20"/>
                <w:szCs w:val="20"/>
                <w:lang w:eastAsia="en-CA"/>
              </w:rPr>
            </w:pPr>
            <w:r>
              <w:rPr>
                <w:rFonts w:cs="Times New Roman"/>
                <w:color w:val="000000"/>
                <w:sz w:val="20"/>
                <w:szCs w:val="20"/>
                <w:lang w:eastAsia="en-CA"/>
              </w:rPr>
              <w:t>16</w:t>
            </w:r>
            <w:r w:rsidRPr="006500E5">
              <w:rPr>
                <w:rFonts w:cs="Times New Roman"/>
                <w:color w:val="000000"/>
                <w:sz w:val="20"/>
                <w:szCs w:val="20"/>
                <w:lang w:eastAsia="en-CA"/>
              </w:rPr>
              <w:t>.</w:t>
            </w:r>
            <w:r>
              <w:rPr>
                <w:rFonts w:cs="Times New Roman"/>
                <w:color w:val="000000"/>
                <w:sz w:val="20"/>
                <w:szCs w:val="20"/>
                <w:lang w:eastAsia="en-CA"/>
              </w:rPr>
              <w:t>9</w:t>
            </w:r>
          </w:p>
        </w:tc>
      </w:tr>
      <w:tr w:rsidR="00527D49" w:rsidRPr="006500E5" w:rsidTr="007E746A">
        <w:trPr>
          <w:trHeight w:val="315"/>
        </w:trPr>
        <w:tc>
          <w:tcPr>
            <w:tcW w:w="0" w:type="auto"/>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7D49" w:rsidRPr="00EC7053" w:rsidRDefault="00527D49" w:rsidP="00527D49">
            <w:pPr>
              <w:spacing w:after="0"/>
              <w:rPr>
                <w:rFonts w:cs="Times New Roman"/>
                <w:color w:val="000000"/>
                <w:sz w:val="18"/>
                <w:szCs w:val="18"/>
                <w:lang w:eastAsia="en-CA"/>
              </w:rPr>
            </w:pPr>
            <w:r w:rsidRPr="00EC7053">
              <w:rPr>
                <w:rFonts w:cs="Times New Roman"/>
                <w:color w:val="000000"/>
                <w:sz w:val="18"/>
                <w:szCs w:val="18"/>
                <w:lang w:eastAsia="en-CA"/>
              </w:rPr>
              <w:t xml:space="preserve">Sources: </w:t>
            </w:r>
            <w:r w:rsidRPr="00EC7053">
              <w:rPr>
                <w:sz w:val="18"/>
                <w:szCs w:val="18"/>
              </w:rPr>
              <w:t>Childcare Resource and Research Unit (2009)—S</w:t>
            </w:r>
            <w:r w:rsidRPr="00EC7053">
              <w:rPr>
                <w:rFonts w:cs="Times New Roman"/>
                <w:color w:val="000000"/>
                <w:sz w:val="18"/>
                <w:szCs w:val="18"/>
                <w:lang w:eastAsia="en-CA"/>
              </w:rPr>
              <w:t xml:space="preserve">taff:Child Ratios and Child Care Spaces, </w:t>
            </w:r>
          </w:p>
          <w:p w:rsidR="00527D49" w:rsidRPr="006500E5" w:rsidRDefault="00527D49" w:rsidP="00527D49">
            <w:pPr>
              <w:spacing w:after="0"/>
              <w:rPr>
                <w:rFonts w:cs="Times New Roman"/>
                <w:color w:val="000000"/>
                <w:sz w:val="20"/>
                <w:szCs w:val="20"/>
                <w:lang w:eastAsia="en-CA"/>
              </w:rPr>
            </w:pPr>
            <w:r w:rsidRPr="00EC7053">
              <w:rPr>
                <w:rFonts w:cs="Times New Roman"/>
                <w:color w:val="000000"/>
                <w:sz w:val="18"/>
                <w:szCs w:val="18"/>
                <w:lang w:eastAsia="en-CA"/>
              </w:rPr>
              <w:t xml:space="preserve">Calculations by author—Increase in Staff, New Spaces and </w:t>
            </w:r>
            <w:r>
              <w:rPr>
                <w:rFonts w:cs="Times New Roman"/>
                <w:color w:val="000000"/>
                <w:sz w:val="18"/>
                <w:szCs w:val="18"/>
                <w:lang w:eastAsia="en-CA"/>
              </w:rPr>
              <w:t xml:space="preserve">Change in </w:t>
            </w:r>
            <w:r w:rsidRPr="00EC7053">
              <w:rPr>
                <w:rFonts w:cs="Times New Roman"/>
                <w:color w:val="000000"/>
                <w:sz w:val="18"/>
                <w:szCs w:val="18"/>
                <w:lang w:eastAsia="en-CA"/>
              </w:rPr>
              <w:t>Mothers’ Full-time Work</w:t>
            </w:r>
          </w:p>
        </w:tc>
      </w:tr>
    </w:tbl>
    <w:p w:rsidR="00527D49" w:rsidRDefault="00527D49" w:rsidP="00527D49"/>
    <w:p w:rsidR="00527D49" w:rsidRDefault="00527D49" w:rsidP="00527D49"/>
    <w:p w:rsidR="00527D49" w:rsidRDefault="00527D49" w:rsidP="00527D49"/>
    <w:p w:rsidR="00527D49" w:rsidRDefault="00527D49" w:rsidP="00527D49"/>
    <w:p w:rsidR="00527D49" w:rsidRDefault="00527D49" w:rsidP="00527D49"/>
    <w:p w:rsidR="00527D49" w:rsidRDefault="00527D49" w:rsidP="00527D49"/>
    <w:p w:rsidR="00527D49" w:rsidRDefault="00527D49" w:rsidP="00527D49"/>
    <w:p w:rsidR="00527D49" w:rsidRDefault="00527D49" w:rsidP="00527D49"/>
    <w:p w:rsidR="00527D49" w:rsidRDefault="00527D49" w:rsidP="00527D49"/>
    <w:p w:rsidR="00527D49" w:rsidRDefault="00527D49" w:rsidP="00527D49">
      <w:pPr>
        <w:spacing w:after="0"/>
      </w:pPr>
    </w:p>
    <w:p w:rsidR="007E746A" w:rsidRDefault="006A6549" w:rsidP="00321C33">
      <w:r>
        <w:t xml:space="preserve">more child care spaces available, the more mothers would be able to go out and work, which </w:t>
      </w:r>
      <w:r w:rsidR="008C1C4D">
        <w:t xml:space="preserve">would have a significant impact on the total number of jobs and therefore economic activity that would be supported by </w:t>
      </w:r>
      <w:r>
        <w:t>the initial</w:t>
      </w:r>
      <w:r w:rsidR="008C1C4D">
        <w:t xml:space="preserve"> increase in spending in the ELC sector</w:t>
      </w:r>
      <w:r>
        <w:t xml:space="preserve">. </w:t>
      </w:r>
      <w:r w:rsidR="009E4A82">
        <w:t xml:space="preserve">This means that 31 jobs in the ELC sector are supporting </w:t>
      </w:r>
      <w:r w:rsidR="005E2FE8">
        <w:t xml:space="preserve">36.4 </w:t>
      </w:r>
      <w:r w:rsidR="009E4A82">
        <w:t>other jobs</w:t>
      </w:r>
      <w:r>
        <w:t xml:space="preserve"> </w:t>
      </w:r>
      <w:r w:rsidR="00416D6C">
        <w:t xml:space="preserve">or that each ECE supports 1.17 other jobs (see Figure </w:t>
      </w:r>
      <w:r w:rsidR="004E27DB">
        <w:t>7</w:t>
      </w:r>
      <w:r w:rsidR="00416D6C">
        <w:t>.1).</w:t>
      </w:r>
    </w:p>
    <w:p w:rsidR="000A583E" w:rsidRDefault="0023080D" w:rsidP="000A583E">
      <w:pPr>
        <w:pStyle w:val="Heading2"/>
        <w:spacing w:before="240"/>
      </w:pPr>
      <w:r>
        <w:rPr>
          <w:noProof/>
          <w:lang w:eastAsia="en-CA"/>
        </w:rPr>
        <w:lastRenderedPageBreak/>
        <w:pict>
          <v:shape id="_x0000_s1088" type="#_x0000_t202" style="position:absolute;margin-left:84.85pt;margin-top:118.95pt;width:422.75pt;height:279.1pt;z-index:5;mso-position-horizontal-relative:page;mso-position-vertical-relative:page" o:allowoverlap="f" stroked="f">
            <o:lock v:ext="edit" aspectratio="t"/>
            <v:textbox style="mso-next-textbox:#_x0000_s1088">
              <w:txbxContent>
                <w:p w:rsidR="007E746A" w:rsidRDefault="007E746A" w:rsidP="007E746A">
                  <w:pPr>
                    <w:spacing w:after="0"/>
                    <w:ind w:left="-181"/>
                    <w:jc w:val="center"/>
                    <w:rPr>
                      <w:b/>
                      <w:sz w:val="24"/>
                    </w:rPr>
                  </w:pPr>
                  <w:r w:rsidRPr="00CD09D1">
                    <w:rPr>
                      <w:b/>
                      <w:sz w:val="24"/>
                    </w:rPr>
                    <w:t xml:space="preserve">Figure </w:t>
                  </w:r>
                  <w:r w:rsidR="004E27DB">
                    <w:rPr>
                      <w:b/>
                      <w:sz w:val="24"/>
                    </w:rPr>
                    <w:t>7</w:t>
                  </w:r>
                  <w:r>
                    <w:rPr>
                      <w:b/>
                      <w:sz w:val="24"/>
                    </w:rPr>
                    <w:t>.1</w:t>
                  </w:r>
                  <w:r w:rsidRPr="00CD09D1">
                    <w:rPr>
                      <w:b/>
                      <w:sz w:val="24"/>
                    </w:rPr>
                    <w:t xml:space="preserve">: </w:t>
                  </w:r>
                  <w:r>
                    <w:rPr>
                      <w:b/>
                      <w:sz w:val="24"/>
                    </w:rPr>
                    <w:t>ELC Supports a Large Number of Jobs</w:t>
                  </w:r>
                </w:p>
                <w:p w:rsidR="007E746A" w:rsidRPr="008E2CEB" w:rsidRDefault="00C247C0" w:rsidP="007E746A">
                  <w:pPr>
                    <w:spacing w:after="0"/>
                    <w:ind w:left="-181"/>
                    <w:jc w:val="center"/>
                    <w:rPr>
                      <w:sz w:val="18"/>
                      <w:szCs w:val="18"/>
                    </w:rPr>
                  </w:pPr>
                  <w:r>
                    <w:rPr>
                      <w:noProof/>
                      <w:sz w:val="18"/>
                      <w:szCs w:val="18"/>
                      <w:lang w:eastAsia="en-CA"/>
                    </w:rPr>
                    <w:drawing>
                      <wp:inline distT="0" distB="0" distL="0" distR="0">
                        <wp:extent cx="5067300" cy="3457575"/>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067300" cy="3457575"/>
                                </a:xfrm>
                                <a:prstGeom prst="rect">
                                  <a:avLst/>
                                </a:prstGeom>
                                <a:noFill/>
                                <a:ln w="9525">
                                  <a:noFill/>
                                  <a:miter lim="800000"/>
                                  <a:headEnd/>
                                  <a:tailEnd/>
                                </a:ln>
                              </pic:spPr>
                            </pic:pic>
                          </a:graphicData>
                        </a:graphic>
                      </wp:inline>
                    </w:drawing>
                  </w:r>
                </w:p>
              </w:txbxContent>
            </v:textbox>
            <w10:wrap type="square" anchorx="page" anchory="page"/>
          </v:shape>
        </w:pict>
      </w:r>
      <w:bookmarkStart w:id="16" w:name="_Toc283303671"/>
      <w:r w:rsidR="004E27DB">
        <w:t>8</w:t>
      </w:r>
      <w:r w:rsidR="000A583E">
        <w:t>. Impact on Government Revenue</w:t>
      </w:r>
      <w:bookmarkEnd w:id="16"/>
    </w:p>
    <w:p w:rsidR="00C40FA9" w:rsidRDefault="008C527D" w:rsidP="00E85106">
      <w:r w:rsidRPr="00EA4AC0">
        <w:t xml:space="preserve">The increase in personal income, consumption and overall economic activity </w:t>
      </w:r>
      <w:r w:rsidR="009826A9">
        <w:t>described above</w:t>
      </w:r>
      <w:r w:rsidR="001251B8">
        <w:t xml:space="preserve"> </w:t>
      </w:r>
      <w:r w:rsidRPr="00EA4AC0">
        <w:t xml:space="preserve">will generate government revenues. </w:t>
      </w:r>
      <w:r w:rsidR="00C40FA9" w:rsidRPr="00EA4AC0">
        <w:t xml:space="preserve">By assuming that all </w:t>
      </w:r>
      <w:r w:rsidR="00C40FA9">
        <w:t>ELC</w:t>
      </w:r>
      <w:r w:rsidR="00C40FA9" w:rsidRPr="00EA4AC0">
        <w:t xml:space="preserve"> workers earn the average wage</w:t>
      </w:r>
      <w:r w:rsidR="00C40FA9">
        <w:t xml:space="preserve"> of $22,020</w:t>
      </w:r>
      <w:r w:rsidR="00C40FA9" w:rsidRPr="00EA4AC0">
        <w:t xml:space="preserve"> </w:t>
      </w:r>
      <w:r w:rsidR="00C40FA9">
        <w:t xml:space="preserve">for 2009, </w:t>
      </w:r>
      <w:r w:rsidR="00C40FA9" w:rsidRPr="00EA4AC0">
        <w:t>the 200</w:t>
      </w:r>
      <w:r w:rsidR="00C40FA9">
        <w:t>9 tax schedules</w:t>
      </w:r>
      <w:r w:rsidR="00C40FA9" w:rsidRPr="00EA4AC0">
        <w:t xml:space="preserve"> for </w:t>
      </w:r>
      <w:r w:rsidR="00C40FA9">
        <w:t>Nova Scotia</w:t>
      </w:r>
      <w:r w:rsidR="00C40FA9" w:rsidRPr="00EA4AC0">
        <w:t xml:space="preserve"> </w:t>
      </w:r>
      <w:r w:rsidR="00C40FA9">
        <w:t>can be used to estimate federal and provincial</w:t>
      </w:r>
      <w:r w:rsidR="00C40FA9" w:rsidRPr="00EA4AC0">
        <w:t xml:space="preserve"> </w:t>
      </w:r>
      <w:r w:rsidR="00C40FA9">
        <w:t xml:space="preserve">personal income taxes for each worker. Furthermore, the </w:t>
      </w:r>
      <w:r w:rsidR="00C40FA9" w:rsidRPr="00EA4AC0">
        <w:t xml:space="preserve">EI and CPP </w:t>
      </w:r>
      <w:r w:rsidR="00C40FA9">
        <w:t>payroll tax rates are known, so these revenues can also be estimated per employee</w:t>
      </w:r>
      <w:r w:rsidR="00C40FA9" w:rsidRPr="00EA4AC0">
        <w:t xml:space="preserve">. These </w:t>
      </w:r>
      <w:r w:rsidR="00C40FA9">
        <w:t xml:space="preserve">per employee </w:t>
      </w:r>
      <w:r w:rsidR="00C40FA9" w:rsidRPr="00EA4AC0">
        <w:t xml:space="preserve">estimates were then scaled up to represent </w:t>
      </w:r>
      <w:r w:rsidR="00C40FA9">
        <w:t>31</w:t>
      </w:r>
      <w:r w:rsidR="00C40FA9" w:rsidRPr="00EA4AC0">
        <w:t xml:space="preserve"> additional </w:t>
      </w:r>
      <w:r w:rsidR="00C40FA9">
        <w:t>ELC</w:t>
      </w:r>
      <w:r w:rsidR="00C40FA9" w:rsidRPr="00EA4AC0">
        <w:t xml:space="preserve"> workers. </w:t>
      </w:r>
    </w:p>
    <w:p w:rsidR="00152869" w:rsidRDefault="00152869" w:rsidP="00152869">
      <w:pPr>
        <w:rPr>
          <w:noProof/>
          <w:lang w:eastAsia="en-CA"/>
        </w:rPr>
      </w:pPr>
      <w:r w:rsidRPr="00EA4AC0">
        <w:t xml:space="preserve">Similarly, the average industrial wage </w:t>
      </w:r>
      <w:r>
        <w:t xml:space="preserve">for 2009 of $37,983 </w:t>
      </w:r>
      <w:r w:rsidRPr="00EA4AC0">
        <w:t xml:space="preserve">was used </w:t>
      </w:r>
      <w:r>
        <w:t>to represent other jobs created via the indirect and induced effects.</w:t>
      </w:r>
      <w:r w:rsidRPr="00EA4AC0">
        <w:t xml:space="preserve"> </w:t>
      </w:r>
      <w:r>
        <w:t>T</w:t>
      </w:r>
      <w:r w:rsidRPr="00EA4AC0">
        <w:t>he</w:t>
      </w:r>
      <w:r>
        <w:t xml:space="preserve"> estimated increase in direct tax revenues per job </w:t>
      </w:r>
      <w:r w:rsidRPr="00EA4AC0">
        <w:t>w</w:t>
      </w:r>
      <w:r>
        <w:t>as</w:t>
      </w:r>
      <w:r w:rsidRPr="00EA4AC0">
        <w:t xml:space="preserve"> scaled up to reflect the increase in job</w:t>
      </w:r>
      <w:r>
        <w:t>s from these rounds</w:t>
      </w:r>
      <w:r w:rsidRPr="00EA4AC0">
        <w:t xml:space="preserve">. </w:t>
      </w:r>
      <w:r>
        <w:t>For mothers’ full-time work, the average full-time, full-year wage for females from the 2006 census was used and adjusted to reflect the increase in female wages from the census reference year to 2009. This estimate of $36,861 was used with the tax schedules to determine the direct tax revenue per employee and then multiplied by the estimated number of women who would work full-time.</w:t>
      </w:r>
      <w:r w:rsidRPr="009E4A82">
        <w:rPr>
          <w:noProof/>
          <w:lang w:eastAsia="en-CA"/>
        </w:rPr>
        <w:t xml:space="preserve"> </w:t>
      </w:r>
    </w:p>
    <w:p w:rsidR="00152869" w:rsidRDefault="00152869" w:rsidP="00152869">
      <w:r>
        <w:t xml:space="preserve">In addition to the increase in direct taxes, there will also be an increase in indirect taxes mostly because of the sales tax revenues generated by increased consumer spending. To estimate indirect tax revenues </w:t>
      </w:r>
      <w:r w:rsidRPr="00EA4AC0">
        <w:t xml:space="preserve">the various links in the multiplier chain were decomposed so that the sales tax leakages based on the </w:t>
      </w:r>
      <w:r>
        <w:t>MPC</w:t>
      </w:r>
      <w:r w:rsidRPr="00EA4AC0">
        <w:t xml:space="preserve"> and the estimated effective sales tax rates for people with different levels of income as discussed above </w:t>
      </w:r>
      <w:r>
        <w:t>were</w:t>
      </w:r>
      <w:r w:rsidRPr="00EA4AC0">
        <w:t xml:space="preserve"> calculated. Since it was assumed that only the jobs created by the direct effect would have a low-level wage (and therefore a higher MPC and lower effective sales tax rate), only the initial round of</w:t>
      </w:r>
      <w:r>
        <w:t xml:space="preserve"> the multiplier chain used the</w:t>
      </w:r>
      <w:r w:rsidRPr="00EA4AC0">
        <w:t xml:space="preserve"> </w:t>
      </w:r>
      <w:r>
        <w:t xml:space="preserve">low wage </w:t>
      </w:r>
      <w:r w:rsidRPr="00EA4AC0">
        <w:t xml:space="preserve">assumptions. All other rounds assumed that workers had an average wage, an average MPC and an average effective sales tax rate. The local government effects were very small in the direct and indirect </w:t>
      </w:r>
      <w:r>
        <w:t xml:space="preserve">impact </w:t>
      </w:r>
      <w:r w:rsidRPr="00EA4AC0">
        <w:t>estimate</w:t>
      </w:r>
      <w:r>
        <w:t>s</w:t>
      </w:r>
      <w:r w:rsidRPr="00EA4AC0">
        <w:t xml:space="preserve"> and were therefore not included in the </w:t>
      </w:r>
      <w:r>
        <w:t>following discussion</w:t>
      </w:r>
      <w:r w:rsidRPr="00EA4AC0">
        <w:t>.</w:t>
      </w:r>
      <w:r w:rsidRPr="00321C33">
        <w:rPr>
          <w:noProof/>
          <w:lang w:eastAsia="en-CA"/>
        </w:rPr>
        <w:t xml:space="preserve"> </w:t>
      </w:r>
    </w:p>
    <w:p w:rsidR="00E85106" w:rsidRDefault="0023080D" w:rsidP="00E85106">
      <w:r>
        <w:rPr>
          <w:noProof/>
          <w:lang w:eastAsia="en-CA"/>
        </w:rPr>
        <w:lastRenderedPageBreak/>
        <w:pict>
          <v:shape id="_x0000_s1067" type="#_x0000_t202" style="position:absolute;margin-left:87.1pt;margin-top:59.95pt;width:425.35pt;height:270.5pt;z-index:4;mso-position-horizontal-relative:page;mso-position-vertical-relative:page" o:allowoverlap="f" stroked="f">
            <o:lock v:ext="edit" aspectratio="t"/>
            <v:textbox style="mso-next-textbox:#_x0000_s1067">
              <w:txbxContent>
                <w:p w:rsidR="00042826" w:rsidRDefault="00042826" w:rsidP="00E85106">
                  <w:pPr>
                    <w:spacing w:after="0"/>
                    <w:ind w:left="-181"/>
                    <w:jc w:val="center"/>
                    <w:rPr>
                      <w:b/>
                      <w:sz w:val="24"/>
                    </w:rPr>
                  </w:pPr>
                  <w:r w:rsidRPr="00CD09D1">
                    <w:rPr>
                      <w:b/>
                      <w:sz w:val="24"/>
                    </w:rPr>
                    <w:t xml:space="preserve">Figure </w:t>
                  </w:r>
                  <w:r w:rsidR="004E27DB">
                    <w:rPr>
                      <w:b/>
                      <w:sz w:val="24"/>
                    </w:rPr>
                    <w:t>8</w:t>
                  </w:r>
                  <w:r>
                    <w:rPr>
                      <w:b/>
                      <w:sz w:val="24"/>
                    </w:rPr>
                    <w:t>.1</w:t>
                  </w:r>
                  <w:r w:rsidRPr="00CD09D1">
                    <w:rPr>
                      <w:b/>
                      <w:sz w:val="24"/>
                    </w:rPr>
                    <w:t xml:space="preserve">: </w:t>
                  </w:r>
                  <w:r>
                    <w:rPr>
                      <w:b/>
                      <w:sz w:val="24"/>
                    </w:rPr>
                    <w:t>All Levels of Government Experience Higher Revenues</w:t>
                  </w:r>
                </w:p>
                <w:p w:rsidR="00042826" w:rsidRPr="00093B55" w:rsidRDefault="00C247C0" w:rsidP="00E85106">
                  <w:pPr>
                    <w:spacing w:after="0"/>
                    <w:ind w:left="-181"/>
                    <w:jc w:val="center"/>
                  </w:pPr>
                  <w:r>
                    <w:rPr>
                      <w:noProof/>
                      <w:lang w:eastAsia="en-CA"/>
                    </w:rPr>
                    <w:drawing>
                      <wp:inline distT="0" distB="0" distL="0" distR="0">
                        <wp:extent cx="4743450" cy="3219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4743450" cy="3219450"/>
                                </a:xfrm>
                                <a:prstGeom prst="rect">
                                  <a:avLst/>
                                </a:prstGeom>
                                <a:noFill/>
                                <a:ln w="9525">
                                  <a:noFill/>
                                  <a:miter lim="800000"/>
                                  <a:headEnd/>
                                  <a:tailEnd/>
                                </a:ln>
                              </pic:spPr>
                            </pic:pic>
                          </a:graphicData>
                        </a:graphic>
                      </wp:inline>
                    </w:drawing>
                  </w:r>
                </w:p>
              </w:txbxContent>
            </v:textbox>
            <w10:wrap type="square" anchorx="page" anchory="page"/>
          </v:shape>
        </w:pict>
      </w:r>
      <w:r w:rsidR="00321C33" w:rsidRPr="00321C33">
        <w:rPr>
          <w:noProof/>
          <w:lang w:eastAsia="en-CA"/>
        </w:rPr>
        <w:t xml:space="preserve"> </w:t>
      </w:r>
      <w:r w:rsidR="00C50FED">
        <w:t>Once the</w:t>
      </w:r>
      <w:r w:rsidR="00571AD8" w:rsidRPr="00EA4AC0">
        <w:t xml:space="preserve"> </w:t>
      </w:r>
      <w:r w:rsidR="00C50FED">
        <w:t xml:space="preserve">above </w:t>
      </w:r>
      <w:r w:rsidR="00571AD8" w:rsidRPr="00EA4AC0">
        <w:t xml:space="preserve">calculations are done, it can be shown that </w:t>
      </w:r>
      <w:r w:rsidR="009826A9">
        <w:t>both the federal and provincial</w:t>
      </w:r>
      <w:r w:rsidR="00571AD8" w:rsidRPr="00EA4AC0">
        <w:t xml:space="preserve"> government</w:t>
      </w:r>
      <w:r w:rsidR="009826A9">
        <w:t>s</w:t>
      </w:r>
      <w:r w:rsidR="00571AD8" w:rsidRPr="00EA4AC0">
        <w:t xml:space="preserve"> benefit from the increase in economic activity</w:t>
      </w:r>
      <w:r w:rsidR="00802ECC">
        <w:t xml:space="preserve"> (Figure </w:t>
      </w:r>
      <w:r w:rsidR="004E27DB">
        <w:t>8</w:t>
      </w:r>
      <w:r w:rsidR="00802ECC">
        <w:t>.1)</w:t>
      </w:r>
      <w:r w:rsidR="00571AD8" w:rsidRPr="00EA4AC0">
        <w:t>. The federal government gains the largest increase in revenues (including EI), followed by the provi</w:t>
      </w:r>
      <w:r w:rsidR="00C50FED">
        <w:t xml:space="preserve">ncial government and the </w:t>
      </w:r>
      <w:r w:rsidR="00571AD8" w:rsidRPr="00EA4AC0">
        <w:t xml:space="preserve">CPP. Since the input-output simulation estimates do not break out all indirect taxes between levels of government for both shocks, it was assumed that the federal/provincial split of indirect tax revenues followed the same split as the effective </w:t>
      </w:r>
      <w:r w:rsidR="00C50FED">
        <w:t>Federal/Provincial portions of the HST rate</w:t>
      </w:r>
      <w:r w:rsidR="00571AD8" w:rsidRPr="00EA4AC0">
        <w:t>.</w:t>
      </w:r>
      <w:r w:rsidR="00152869" w:rsidRPr="00152869">
        <w:rPr>
          <w:noProof/>
          <w:lang w:eastAsia="en-CA"/>
        </w:rPr>
        <w:t xml:space="preserve"> </w:t>
      </w:r>
    </w:p>
    <w:p w:rsidR="00E85106" w:rsidRDefault="00E85106" w:rsidP="00E85106">
      <w:r w:rsidRPr="00EA4AC0">
        <w:t xml:space="preserve">Notably, the cost of hiring </w:t>
      </w:r>
      <w:r>
        <w:t>31</w:t>
      </w:r>
      <w:r w:rsidRPr="00EA4AC0">
        <w:t xml:space="preserve"> </w:t>
      </w:r>
      <w:r>
        <w:t>ELC</w:t>
      </w:r>
      <w:r w:rsidRPr="00EA4AC0">
        <w:t xml:space="preserve"> workers—total wages, salaries and supplementary labour income—is slightly </w:t>
      </w:r>
      <w:r>
        <w:t>less</w:t>
      </w:r>
      <w:r w:rsidRPr="00EA4AC0">
        <w:t xml:space="preserve"> than the revenues that governments collectively gain from the increase in economic activity caused by the direct, indirect, induced effects, and from more mothers</w:t>
      </w:r>
      <w:r w:rsidRPr="00E85106">
        <w:t xml:space="preserve"> </w:t>
      </w:r>
      <w:r w:rsidRPr="00EA4AC0">
        <w:t>participating in the labour market</w:t>
      </w:r>
      <w:r w:rsidR="00802ECC">
        <w:t xml:space="preserve"> (Figure </w:t>
      </w:r>
      <w:r w:rsidR="004E27DB">
        <w:t>8</w:t>
      </w:r>
      <w:r w:rsidR="00802ECC">
        <w:t>.2</w:t>
      </w:r>
      <w:r w:rsidR="00F15E7C">
        <w:t>)</w:t>
      </w:r>
      <w:r w:rsidRPr="00EA4AC0">
        <w:t xml:space="preserve">. </w:t>
      </w:r>
      <w:r w:rsidR="00154745">
        <w:t>It should also be noted that</w:t>
      </w:r>
      <w:r w:rsidR="00154745" w:rsidRPr="00EA4AC0">
        <w:t xml:space="preserve"> the increase in governments’ revenue is more than the increase in the average subsidy as identified by the input-output simulation.</w:t>
      </w:r>
      <w:r w:rsidR="00154745">
        <w:t xml:space="preserve"> </w:t>
      </w:r>
      <w:r>
        <w:t>But the total gain in government revenues is less than the original one million dollar increase in expenditures for child care. And since some of the</w:t>
      </w:r>
      <w:r w:rsidRPr="00EA4AC0">
        <w:t xml:space="preserve"> additional revenues </w:t>
      </w:r>
      <w:r>
        <w:t xml:space="preserve">that governments’ receive </w:t>
      </w:r>
      <w:r w:rsidRPr="00EA4AC0">
        <w:t xml:space="preserve">accrue to the CPP the </w:t>
      </w:r>
      <w:r w:rsidR="00154745">
        <w:t>difference</w:t>
      </w:r>
      <w:r w:rsidRPr="00EA4AC0">
        <w:t xml:space="preserve"> </w:t>
      </w:r>
      <w:r w:rsidR="00802ECC">
        <w:t xml:space="preserve">between the increase in spending and general tax revenue </w:t>
      </w:r>
      <w:r w:rsidRPr="00EA4AC0">
        <w:t xml:space="preserve">is even </w:t>
      </w:r>
      <w:r w:rsidR="00154745">
        <w:t>greater</w:t>
      </w:r>
      <w:r w:rsidRPr="00EA4AC0">
        <w:t>.</w:t>
      </w:r>
    </w:p>
    <w:p w:rsidR="00E85106" w:rsidRDefault="00E85106" w:rsidP="00E85106">
      <w:r w:rsidRPr="00EA4AC0">
        <w:t xml:space="preserve">Also, it is useful to note that </w:t>
      </w:r>
      <w:r>
        <w:t>the provincial government</w:t>
      </w:r>
      <w:r w:rsidRPr="00EA4AC0">
        <w:t xml:space="preserve"> </w:t>
      </w:r>
      <w:r>
        <w:t>is</w:t>
      </w:r>
      <w:r w:rsidRPr="00EA4AC0">
        <w:t xml:space="preserve"> responsible for </w:t>
      </w:r>
      <w:r>
        <w:t>ELC</w:t>
      </w:r>
      <w:r w:rsidRPr="00EA4AC0">
        <w:t xml:space="preserve">, and this level of government gains less revenue than the total cost of more </w:t>
      </w:r>
      <w:r>
        <w:t>ELC</w:t>
      </w:r>
      <w:r w:rsidRPr="00EA4AC0">
        <w:t xml:space="preserve"> workers. It is also important to keep in mind that these wage costs do not include other costs of an expansion of the </w:t>
      </w:r>
      <w:r>
        <w:t>ELC</w:t>
      </w:r>
      <w:r w:rsidRPr="00EA4AC0">
        <w:t xml:space="preserve"> sector, such as building costs or training costs. Furthermore, the input-output simulation model and multiplier estimates assume that all employees can be obtained for the average wage in the sector, and that there are no capacity constraints that would boost wages, inflation and cause other crowding out. These assumptions may be appropriate during a period of economic slack, but costs could escalate during a period of workforce shortages.</w:t>
      </w:r>
      <w:r w:rsidRPr="00EA4AC0">
        <w:rPr>
          <w:rStyle w:val="FootnoteReference"/>
        </w:rPr>
        <w:footnoteReference w:id="21"/>
      </w:r>
      <w:r w:rsidRPr="00EA4AC0">
        <w:t xml:space="preserve"> </w:t>
      </w:r>
    </w:p>
    <w:p w:rsidR="00154745" w:rsidRDefault="00C361A5" w:rsidP="00E85106">
      <w:r>
        <w:pict>
          <v:shape id="_x0000_s1093" type="#_x0000_t202" style="width:420.65pt;height:277.75pt;mso-position-horizontal-relative:char;mso-position-vertical-relative:line" o:allowincell="f" stroked="f">
            <o:lock v:ext="edit" aspectratio="t"/>
            <v:textbox style="mso-next-textbox:#_x0000_s1093">
              <w:txbxContent>
                <w:p w:rsidR="004E27DB" w:rsidRDefault="004E27DB" w:rsidP="004E27DB">
                  <w:pPr>
                    <w:spacing w:after="0"/>
                    <w:ind w:left="-181"/>
                    <w:jc w:val="center"/>
                    <w:rPr>
                      <w:b/>
                      <w:sz w:val="24"/>
                    </w:rPr>
                  </w:pPr>
                  <w:r w:rsidRPr="00CD09D1">
                    <w:rPr>
                      <w:b/>
                      <w:sz w:val="24"/>
                    </w:rPr>
                    <w:t xml:space="preserve">Figure </w:t>
                  </w:r>
                  <w:r>
                    <w:rPr>
                      <w:b/>
                      <w:sz w:val="24"/>
                    </w:rPr>
                    <w:t>8.2</w:t>
                  </w:r>
                  <w:r w:rsidRPr="00CD09D1">
                    <w:rPr>
                      <w:b/>
                      <w:sz w:val="24"/>
                    </w:rPr>
                    <w:t xml:space="preserve">: </w:t>
                  </w:r>
                  <w:r>
                    <w:rPr>
                      <w:b/>
                      <w:sz w:val="24"/>
                    </w:rPr>
                    <w:t>Total Additional Government Revenues Exceed Wage Costs</w:t>
                  </w:r>
                </w:p>
                <w:p w:rsidR="004E27DB" w:rsidRPr="00C751B6" w:rsidRDefault="00C247C0" w:rsidP="004E27DB">
                  <w:pPr>
                    <w:spacing w:after="0"/>
                    <w:ind w:left="-181"/>
                    <w:jc w:val="center"/>
                    <w:rPr>
                      <w:b/>
                      <w:sz w:val="24"/>
                    </w:rPr>
                  </w:pPr>
                  <w:r>
                    <w:rPr>
                      <w:noProof/>
                      <w:lang w:eastAsia="en-CA"/>
                    </w:rPr>
                    <w:drawing>
                      <wp:inline distT="0" distB="0" distL="0" distR="0">
                        <wp:extent cx="4772025" cy="3276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4772025" cy="3276600"/>
                                </a:xfrm>
                                <a:prstGeom prst="rect">
                                  <a:avLst/>
                                </a:prstGeom>
                                <a:noFill/>
                                <a:ln w="9525">
                                  <a:noFill/>
                                  <a:miter lim="800000"/>
                                  <a:headEnd/>
                                  <a:tailEnd/>
                                </a:ln>
                              </pic:spPr>
                            </pic:pic>
                          </a:graphicData>
                        </a:graphic>
                      </wp:inline>
                    </w:drawing>
                  </w:r>
                </w:p>
                <w:p w:rsidR="004E27DB" w:rsidRPr="00750C1C" w:rsidRDefault="004E27DB" w:rsidP="004E27DB">
                  <w:pPr>
                    <w:ind w:left="-180"/>
                    <w:jc w:val="center"/>
                    <w:rPr>
                      <w:sz w:val="18"/>
                      <w:szCs w:val="18"/>
                    </w:rPr>
                  </w:pPr>
                </w:p>
              </w:txbxContent>
            </v:textbox>
            <w10:wrap type="none" anchorx="page" anchory="page"/>
            <w10:anchorlock/>
          </v:shape>
        </w:pict>
      </w:r>
    </w:p>
    <w:p w:rsidR="00F31F0A" w:rsidRDefault="00DF03E3" w:rsidP="00F31F0A">
      <w:pPr>
        <w:pStyle w:val="Heading2"/>
      </w:pPr>
      <w:bookmarkStart w:id="17" w:name="_Toc283303672"/>
      <w:r>
        <w:t>9</w:t>
      </w:r>
      <w:r w:rsidR="00F31F0A">
        <w:t>. Conclusion</w:t>
      </w:r>
      <w:bookmarkEnd w:id="17"/>
    </w:p>
    <w:p w:rsidR="00435453" w:rsidRDefault="00042826" w:rsidP="00042826">
      <w:r>
        <w:t xml:space="preserve">Increased investment in </w:t>
      </w:r>
      <w:r w:rsidR="00620DEB">
        <w:t>regulated</w:t>
      </w:r>
      <w:r>
        <w:t xml:space="preserve"> early learning and care (ELC) in the province of Nova Scotia will provide many short-term economic </w:t>
      </w:r>
      <w:r w:rsidR="00D9599D">
        <w:t>benefits</w:t>
      </w:r>
      <w:r>
        <w:t>.</w:t>
      </w:r>
      <w:r w:rsidR="00435453">
        <w:t xml:space="preserve"> </w:t>
      </w:r>
      <w:r w:rsidR="00EB6B74">
        <w:t xml:space="preserve">The economic benefits to Nova Scotia can be decomposed into several channels including the direct, indirect and induced effects. For most of these channels, the ELC sector provides more benefits than other major sectors. </w:t>
      </w:r>
    </w:p>
    <w:p w:rsidR="00042826" w:rsidRDefault="00042826" w:rsidP="00042826">
      <w:r>
        <w:t xml:space="preserve">Statistics Canada </w:t>
      </w:r>
      <w:r w:rsidR="00EB6B74">
        <w:t xml:space="preserve">estimates that the combined direct and indirect GDP multiplier </w:t>
      </w:r>
      <w:r>
        <w:t>is 0.95 per dollar of spending on ELC. And one million dollars of investment in the sector will add 31.6 jobs via the direct and indirect channels. Both of these multiplier</w:t>
      </w:r>
      <w:r w:rsidR="00435453">
        <w:t xml:space="preserve">s are larger than those for </w:t>
      </w:r>
      <w:r>
        <w:t xml:space="preserve">other major industries in Nova Scotia. </w:t>
      </w:r>
    </w:p>
    <w:p w:rsidR="00435453" w:rsidRDefault="00042826" w:rsidP="00042826">
      <w:r>
        <w:t>The ELC sector also provide</w:t>
      </w:r>
      <w:r w:rsidR="00435453">
        <w:t>s</w:t>
      </w:r>
      <w:r>
        <w:t xml:space="preserve"> a large boost to the economy via the induced effect as those who are hired spend their income. It is found that per dollar increase in ELC spending the induced effect provides an additional </w:t>
      </w:r>
      <w:r w:rsidR="00435453">
        <w:t>boost</w:t>
      </w:r>
      <w:r>
        <w:t xml:space="preserve"> </w:t>
      </w:r>
      <w:r w:rsidR="00D80A26">
        <w:t>to</w:t>
      </w:r>
      <w:r>
        <w:t xml:space="preserve"> GDP of $1.27 and 15.1 jobs are created in Nova Scotia per million dollars. </w:t>
      </w:r>
      <w:r w:rsidR="00435453">
        <w:t>The</w:t>
      </w:r>
      <w:r w:rsidR="00435453" w:rsidRPr="00EA4AC0">
        <w:t xml:space="preserve"> </w:t>
      </w:r>
      <w:r w:rsidR="00435453">
        <w:t>ELC sector has the largest induced GDP multiplier effect of all the major sectors</w:t>
      </w:r>
      <w:r w:rsidR="00435453" w:rsidRPr="00EA4AC0">
        <w:t xml:space="preserve">. </w:t>
      </w:r>
    </w:p>
    <w:p w:rsidR="00042826" w:rsidRDefault="00435453" w:rsidP="00042826">
      <w:r>
        <w:t>Combining the</w:t>
      </w:r>
      <w:r w:rsidR="00042826">
        <w:t xml:space="preserve"> direct, indirect and induced multiplier</w:t>
      </w:r>
      <w:r>
        <w:t>s</w:t>
      </w:r>
      <w:r w:rsidR="00042826">
        <w:t xml:space="preserve"> </w:t>
      </w:r>
      <w:r>
        <w:t>shows that one dollar of investment in ELC increases GDP by $</w:t>
      </w:r>
      <w:r w:rsidR="00042826">
        <w:t xml:space="preserve">2.23 and the combined employment multiplier is 46.8 jobs in Nova Scotia per million dollars of ELC spending. These gains are larger for ELC related spending than for other major sectors of the Nova Scotia economy. </w:t>
      </w:r>
      <w:r w:rsidR="00D80A26">
        <w:t>The combination of large GDP and employment multipliers means that a dollar invested in the ELC sector has a larger effect on the economy and jobs than a dollar used to support any of the other of the major sectors in the province</w:t>
      </w:r>
      <w:r w:rsidR="00C216CB">
        <w:t>, many government programs and larger than the short-term impact from increased taxes</w:t>
      </w:r>
      <w:r w:rsidR="00C216CB" w:rsidRPr="00BA46C3">
        <w:t>.</w:t>
      </w:r>
    </w:p>
    <w:p w:rsidR="00C216CB" w:rsidRDefault="00042826" w:rsidP="00C216CB">
      <w:r>
        <w:t xml:space="preserve">An expansion in the number of jobs in the ELC sector also permits more mothers to go out and find work. It is estimated that an </w:t>
      </w:r>
      <w:r w:rsidRPr="00EA4AC0">
        <w:t xml:space="preserve">extra </w:t>
      </w:r>
      <w:r>
        <w:t>31</w:t>
      </w:r>
      <w:r w:rsidRPr="00EA4AC0">
        <w:t xml:space="preserve"> </w:t>
      </w:r>
      <w:r>
        <w:t>early childhood educators in the ELC sector would support over 193 child care spaces</w:t>
      </w:r>
      <w:r w:rsidR="00D80A26">
        <w:t xml:space="preserve"> and</w:t>
      </w:r>
      <w:r>
        <w:t xml:space="preserve"> permit </w:t>
      </w:r>
      <w:r w:rsidR="00D80A26">
        <w:t xml:space="preserve">an additional </w:t>
      </w:r>
      <w:r>
        <w:t xml:space="preserve">16.9 mothers to find full-time work. And this </w:t>
      </w:r>
      <w:r>
        <w:lastRenderedPageBreak/>
        <w:t>increase in employment would also have an induced economic effect. Combining all the potential channels together means that one early childhood educator supports 1.17 other jobs.</w:t>
      </w:r>
      <w:r w:rsidR="00C216CB">
        <w:t xml:space="preserve"> </w:t>
      </w:r>
    </w:p>
    <w:p w:rsidR="00042826" w:rsidRDefault="00042826" w:rsidP="00042826">
      <w:r w:rsidRPr="00EA4AC0">
        <w:t>The increase in personal income and overall economic activity will generate government revenues.</w:t>
      </w:r>
      <w:r>
        <w:t xml:space="preserve"> </w:t>
      </w:r>
      <w:r w:rsidR="00D80A26">
        <w:t>It is estimated</w:t>
      </w:r>
      <w:r>
        <w:t xml:space="preserve"> </w:t>
      </w:r>
      <w:r w:rsidRPr="00EA4AC0">
        <w:t xml:space="preserve">that governments collectively gain </w:t>
      </w:r>
      <w:r>
        <w:t>$860.7 thousand</w:t>
      </w:r>
      <w:r w:rsidR="00D80A26">
        <w:t xml:space="preserve"> from a one million increase in spending in the ELC sector</w:t>
      </w:r>
      <w:r>
        <w:t xml:space="preserve">. Notably, this increase in government revenues is in excess of the $806.1 thousand </w:t>
      </w:r>
      <w:r w:rsidRPr="00EA4AC0">
        <w:t xml:space="preserve">cost </w:t>
      </w:r>
      <w:r>
        <w:t xml:space="preserve">of </w:t>
      </w:r>
      <w:r w:rsidRPr="00EA4AC0">
        <w:t xml:space="preserve">hiring </w:t>
      </w:r>
      <w:r>
        <w:t>31</w:t>
      </w:r>
      <w:r w:rsidRPr="00EA4AC0">
        <w:t xml:space="preserve"> </w:t>
      </w:r>
      <w:r w:rsidR="00D80A26">
        <w:t xml:space="preserve">extra </w:t>
      </w:r>
      <w:r>
        <w:t>ELC</w:t>
      </w:r>
      <w:r w:rsidRPr="00EA4AC0">
        <w:t xml:space="preserve"> workers. </w:t>
      </w:r>
      <w:r>
        <w:t>But government revenues are spread between the federal, pro</w:t>
      </w:r>
      <w:r w:rsidR="00D80A26">
        <w:t>vincial and Canada pension plan,</w:t>
      </w:r>
      <w:r>
        <w:t xml:space="preserve"> </w:t>
      </w:r>
      <w:r w:rsidR="00D80A26">
        <w:t>s</w:t>
      </w:r>
      <w:r>
        <w:t xml:space="preserve">o no one level of government receives sufficient revenue to fund the increase in wage costs let alone the one million dollar rise in ELC spending. </w:t>
      </w:r>
      <w:r w:rsidR="00D80A26">
        <w:t>And</w:t>
      </w:r>
      <w:r>
        <w:t xml:space="preserve"> the provincial government, which is responsible for ELC, receives less tax revenue than the federal government from an increase in ELC spending.</w:t>
      </w:r>
    </w:p>
    <w:p w:rsidR="00152869" w:rsidRDefault="00152869" w:rsidP="00042826"/>
    <w:p w:rsidR="00152869" w:rsidRDefault="00152869" w:rsidP="00042826"/>
    <w:p w:rsidR="00152869" w:rsidRDefault="00152869" w:rsidP="00042826"/>
    <w:p w:rsidR="00152869" w:rsidRDefault="00152869" w:rsidP="00042826"/>
    <w:p w:rsidR="00152869" w:rsidRDefault="00152869" w:rsidP="00042826"/>
    <w:p w:rsidR="00152869" w:rsidRDefault="00152869" w:rsidP="00042826"/>
    <w:p w:rsidR="00152869" w:rsidRDefault="00152869" w:rsidP="00042826"/>
    <w:p w:rsidR="00152869" w:rsidRDefault="00152869" w:rsidP="00042826"/>
    <w:p w:rsidR="00152869" w:rsidRDefault="00152869"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4E27DB" w:rsidRDefault="004E27DB" w:rsidP="00042826"/>
    <w:p w:rsidR="008F2188" w:rsidRPr="00BD0589" w:rsidRDefault="00DF03E3" w:rsidP="00BD0589">
      <w:pPr>
        <w:pStyle w:val="Heading2"/>
        <w:spacing w:before="0"/>
        <w:rPr>
          <w:bCs/>
        </w:rPr>
      </w:pPr>
      <w:bookmarkStart w:id="18" w:name="_Toc283303673"/>
      <w:r>
        <w:rPr>
          <w:bCs/>
        </w:rPr>
        <w:lastRenderedPageBreak/>
        <w:t>10</w:t>
      </w:r>
      <w:r w:rsidR="00BD0589">
        <w:rPr>
          <w:bCs/>
        </w:rPr>
        <w:t xml:space="preserve">. </w:t>
      </w:r>
      <w:r w:rsidR="008F2188" w:rsidRPr="00BD0589">
        <w:rPr>
          <w:bCs/>
        </w:rPr>
        <w:t>References</w:t>
      </w:r>
      <w:bookmarkEnd w:id="11"/>
      <w:bookmarkEnd w:id="18"/>
    </w:p>
    <w:p w:rsidR="00343A30" w:rsidRPr="00355EF3" w:rsidRDefault="008F2188" w:rsidP="00343A30">
      <w:pPr>
        <w:ind w:left="706" w:hanging="706"/>
        <w:rPr>
          <w:rFonts w:cs="Times New Roman"/>
          <w:szCs w:val="22"/>
        </w:rPr>
      </w:pPr>
      <w:r w:rsidRPr="00355EF3">
        <w:rPr>
          <w:rFonts w:cs="Times New Roman"/>
          <w:szCs w:val="22"/>
        </w:rPr>
        <w:t xml:space="preserve">Anderson, P.M. and </w:t>
      </w:r>
      <w:r w:rsidR="008A6E39" w:rsidRPr="00355EF3">
        <w:rPr>
          <w:rFonts w:cs="Times New Roman"/>
          <w:szCs w:val="22"/>
        </w:rPr>
        <w:t xml:space="preserve">P.B. </w:t>
      </w:r>
      <w:r w:rsidRPr="00355EF3">
        <w:rPr>
          <w:rFonts w:cs="Times New Roman"/>
          <w:szCs w:val="22"/>
        </w:rPr>
        <w:t xml:space="preserve">Levine, (1999). “Child Care and Mothers’ Employment Decisions”, </w:t>
      </w:r>
      <w:r w:rsidRPr="00355EF3">
        <w:rPr>
          <w:rFonts w:cs="Times New Roman"/>
          <w:i/>
          <w:iCs/>
          <w:szCs w:val="22"/>
        </w:rPr>
        <w:t>Working Paper</w:t>
      </w:r>
      <w:r w:rsidRPr="00355EF3">
        <w:rPr>
          <w:rFonts w:cs="Times New Roman"/>
          <w:szCs w:val="22"/>
        </w:rPr>
        <w:t>, No. 7058, National Bureau of Economic Research.</w:t>
      </w:r>
    </w:p>
    <w:p w:rsidR="004E27DB" w:rsidRPr="00355EF3" w:rsidRDefault="001E7140" w:rsidP="001E7140">
      <w:pPr>
        <w:ind w:left="706" w:hanging="706"/>
        <w:rPr>
          <w:rFonts w:cs="Times New Roman"/>
          <w:szCs w:val="22"/>
        </w:rPr>
      </w:pPr>
      <w:r w:rsidRPr="00355EF3">
        <w:rPr>
          <w:rFonts w:cs="Times New Roman"/>
          <w:szCs w:val="22"/>
        </w:rPr>
        <w:t>Anderson, L. and D. Rosen (2008). “Building on our strengths: A child care plan for Victoria: A Report of the Victoria Regional Child Care Council in Collaboration with Partners in Learning and Advocacy for Young Children (PLAY).” Human Early Learning Partnership, University of British Columbia.</w:t>
      </w:r>
    </w:p>
    <w:p w:rsidR="004E27DB" w:rsidRPr="00355EF3" w:rsidRDefault="001E7140" w:rsidP="001E7140">
      <w:pPr>
        <w:ind w:left="706" w:hanging="706"/>
        <w:rPr>
          <w:rFonts w:cs="Times New Roman"/>
          <w:szCs w:val="22"/>
        </w:rPr>
      </w:pPr>
      <w:r w:rsidRPr="00355EF3">
        <w:rPr>
          <w:rFonts w:cs="Times New Roman"/>
          <w:szCs w:val="22"/>
        </w:rPr>
        <w:t xml:space="preserve">Andersson, B.-K. (1989). “Effects of Public Day-Care: A Longitudinal Study.” </w:t>
      </w:r>
      <w:r w:rsidRPr="00355EF3">
        <w:rPr>
          <w:rFonts w:cs="Times New Roman"/>
          <w:i/>
          <w:iCs/>
          <w:szCs w:val="22"/>
        </w:rPr>
        <w:t>Child Development</w:t>
      </w:r>
      <w:r w:rsidRPr="00355EF3">
        <w:rPr>
          <w:rFonts w:cs="Times New Roman"/>
          <w:szCs w:val="22"/>
        </w:rPr>
        <w:t>, 60(4), pp. 857-866.</w:t>
      </w:r>
    </w:p>
    <w:p w:rsidR="009F66D1" w:rsidRPr="00355EF3" w:rsidRDefault="001E7140" w:rsidP="001E7140">
      <w:pPr>
        <w:ind w:left="706" w:hanging="706"/>
        <w:rPr>
          <w:rFonts w:cs="Times New Roman"/>
          <w:szCs w:val="22"/>
        </w:rPr>
      </w:pPr>
      <w:r w:rsidRPr="00355EF3">
        <w:rPr>
          <w:rFonts w:cs="Times New Roman"/>
          <w:szCs w:val="22"/>
        </w:rPr>
        <w:t xml:space="preserve">Andersson, B.-K. (1992). “Effects of Day-Care on Cognitive and Socioemotional Competence of Thirteen-Year-Old Swedish Schoolchildren.” </w:t>
      </w:r>
      <w:r w:rsidRPr="00355EF3">
        <w:rPr>
          <w:rFonts w:cs="Times New Roman"/>
          <w:i/>
          <w:iCs/>
          <w:szCs w:val="22"/>
        </w:rPr>
        <w:t>Child Development</w:t>
      </w:r>
      <w:r w:rsidRPr="00355EF3">
        <w:rPr>
          <w:rFonts w:cs="Times New Roman"/>
          <w:szCs w:val="22"/>
        </w:rPr>
        <w:t>, 63(1), pp. 20-36.</w:t>
      </w:r>
    </w:p>
    <w:p w:rsidR="009F66D1" w:rsidRPr="00355EF3" w:rsidRDefault="001E7140" w:rsidP="009F66D1">
      <w:pPr>
        <w:ind w:left="706" w:hanging="706"/>
        <w:rPr>
          <w:rStyle w:val="HTMLCite"/>
          <w:rFonts w:cs="Times New Roman"/>
          <w:i w:val="0"/>
          <w:iCs w:val="0"/>
          <w:szCs w:val="22"/>
        </w:rPr>
      </w:pPr>
      <w:r w:rsidRPr="00355EF3">
        <w:rPr>
          <w:rFonts w:cs="Times New Roman"/>
          <w:szCs w:val="22"/>
        </w:rPr>
        <w:t>Andersson, B.-K. (2003). “Child Care and Its Impact on Children 0–2 Years of Age Commenting: Belsky, Howes, and Owens.”</w:t>
      </w:r>
      <w:r w:rsidRPr="00355EF3">
        <w:rPr>
          <w:rFonts w:cs="Times New Roman"/>
          <w:i/>
          <w:szCs w:val="22"/>
        </w:rPr>
        <w:t xml:space="preserve"> Encyclopedia on Early </w:t>
      </w:r>
      <w:r w:rsidRPr="00355EF3">
        <w:rPr>
          <w:rFonts w:cs="Times New Roman"/>
          <w:i/>
          <w:iCs/>
          <w:szCs w:val="22"/>
        </w:rPr>
        <w:t>Childhood Development</w:t>
      </w:r>
      <w:r w:rsidRPr="00355EF3">
        <w:rPr>
          <w:rFonts w:cs="Times New Roman"/>
          <w:szCs w:val="22"/>
        </w:rPr>
        <w:t>,</w:t>
      </w:r>
      <w:r w:rsidRPr="00355EF3">
        <w:rPr>
          <w:rFonts w:cs="Times New Roman"/>
          <w:i/>
          <w:iCs/>
          <w:color w:val="000000"/>
          <w:szCs w:val="22"/>
        </w:rPr>
        <w:t xml:space="preserve"> </w:t>
      </w:r>
      <w:r w:rsidRPr="00355EF3">
        <w:rPr>
          <w:rStyle w:val="HTMLCite"/>
          <w:rFonts w:cs="Times New Roman"/>
          <w:i w:val="0"/>
          <w:color w:val="000000"/>
          <w:szCs w:val="22"/>
        </w:rPr>
        <w:t>www.</w:t>
      </w:r>
      <w:r w:rsidRPr="00355EF3">
        <w:rPr>
          <w:rStyle w:val="HTMLCite"/>
          <w:rFonts w:cs="Times New Roman"/>
          <w:bCs/>
          <w:i w:val="0"/>
          <w:color w:val="000000"/>
          <w:szCs w:val="22"/>
        </w:rPr>
        <w:t>child</w:t>
      </w:r>
      <w:r w:rsidRPr="00355EF3">
        <w:rPr>
          <w:rStyle w:val="HTMLCite"/>
          <w:rFonts w:cs="Times New Roman"/>
          <w:i w:val="0"/>
          <w:color w:val="000000"/>
          <w:szCs w:val="22"/>
        </w:rPr>
        <w:t>-</w:t>
      </w:r>
      <w:r w:rsidRPr="00355EF3">
        <w:rPr>
          <w:rStyle w:val="HTMLCite"/>
          <w:rFonts w:cs="Times New Roman"/>
          <w:bCs/>
          <w:i w:val="0"/>
          <w:color w:val="000000"/>
          <w:szCs w:val="22"/>
        </w:rPr>
        <w:t>encyclopedia</w:t>
      </w:r>
      <w:r w:rsidRPr="00355EF3">
        <w:rPr>
          <w:rStyle w:val="HTMLCite"/>
          <w:rFonts w:cs="Times New Roman"/>
          <w:i w:val="0"/>
          <w:color w:val="000000"/>
          <w:szCs w:val="22"/>
        </w:rPr>
        <w:t>.com.</w:t>
      </w:r>
    </w:p>
    <w:p w:rsidR="009F66D1" w:rsidRPr="00355EF3" w:rsidRDefault="009F66D1" w:rsidP="009F66D1">
      <w:pPr>
        <w:ind w:left="706" w:hanging="706"/>
        <w:rPr>
          <w:rFonts w:cs="Times New Roman"/>
          <w:szCs w:val="22"/>
        </w:rPr>
      </w:pPr>
      <w:r w:rsidRPr="00355EF3">
        <w:rPr>
          <w:rFonts w:cs="Times New Roman"/>
          <w:szCs w:val="22"/>
        </w:rPr>
        <w:t xml:space="preserve">Andren, T. (2003). “The choice of paid childcare, welfare, and labor supply of single mothers.” </w:t>
      </w:r>
      <w:r w:rsidRPr="00355EF3">
        <w:rPr>
          <w:rFonts w:cs="Times New Roman"/>
          <w:i/>
          <w:iCs/>
          <w:szCs w:val="22"/>
        </w:rPr>
        <w:t>Labour Economics</w:t>
      </w:r>
      <w:r w:rsidRPr="00355EF3">
        <w:rPr>
          <w:rFonts w:cs="Times New Roman"/>
          <w:szCs w:val="22"/>
        </w:rPr>
        <w:t xml:space="preserve">, 10(2), pp. 133-147. </w:t>
      </w:r>
    </w:p>
    <w:p w:rsidR="009F66D1" w:rsidRPr="00355EF3" w:rsidRDefault="009F66D1" w:rsidP="009F66D1">
      <w:pPr>
        <w:ind w:left="706" w:hanging="706"/>
        <w:rPr>
          <w:rFonts w:cs="Times New Roman"/>
          <w:szCs w:val="22"/>
        </w:rPr>
      </w:pPr>
      <w:r w:rsidRPr="00355EF3">
        <w:rPr>
          <w:rFonts w:cs="Times New Roman"/>
          <w:szCs w:val="22"/>
        </w:rPr>
        <w:t xml:space="preserve">Andrews, S.R., J.B. Blumenthal, D.L. Johnson, </w:t>
      </w:r>
      <w:r w:rsidRPr="00355EF3">
        <w:rPr>
          <w:rFonts w:cs="Times New Roman"/>
          <w:iCs/>
          <w:szCs w:val="22"/>
        </w:rPr>
        <w:t xml:space="preserve">A.J. Kahn, C.J. Ferguson, T.M. Lasater,  P.E. Malone, and D.B. Wallace </w:t>
      </w:r>
      <w:r w:rsidRPr="00355EF3">
        <w:rPr>
          <w:rFonts w:cs="Times New Roman"/>
          <w:szCs w:val="22"/>
        </w:rPr>
        <w:t xml:space="preserve">(1982). “The skills of mothering: A study of parent child development centers.” </w:t>
      </w:r>
      <w:r w:rsidRPr="00355EF3">
        <w:rPr>
          <w:rFonts w:cs="Times New Roman"/>
          <w:i/>
          <w:iCs/>
          <w:szCs w:val="22"/>
        </w:rPr>
        <w:t>Monographs of the Society for Research in Child Development</w:t>
      </w:r>
      <w:r w:rsidRPr="00355EF3">
        <w:rPr>
          <w:rFonts w:cs="Times New Roman"/>
          <w:szCs w:val="22"/>
        </w:rPr>
        <w:t>, Serial No. 198 46(6).</w:t>
      </w:r>
    </w:p>
    <w:p w:rsidR="009F66D1" w:rsidRPr="00355EF3" w:rsidRDefault="009F66D1" w:rsidP="009F66D1">
      <w:pPr>
        <w:ind w:left="706" w:hanging="706"/>
        <w:rPr>
          <w:rFonts w:cs="Times New Roman"/>
          <w:szCs w:val="22"/>
        </w:rPr>
      </w:pPr>
      <w:r w:rsidRPr="00355EF3">
        <w:rPr>
          <w:rFonts w:cs="Times New Roman"/>
          <w:szCs w:val="22"/>
        </w:rPr>
        <w:t xml:space="preserve">Apps, P. and R. Rees (2000). “Household Production, Full Consumption and the Costs of Children.” </w:t>
      </w:r>
      <w:r w:rsidRPr="00355EF3">
        <w:rPr>
          <w:rFonts w:cs="Times New Roman"/>
          <w:i/>
          <w:iCs/>
          <w:szCs w:val="22"/>
        </w:rPr>
        <w:t>IZA Discussion Papers</w:t>
      </w:r>
      <w:r w:rsidRPr="00355EF3">
        <w:rPr>
          <w:rFonts w:cs="Times New Roman"/>
          <w:szCs w:val="22"/>
        </w:rPr>
        <w:t>, 157, Institute for the Study of Labor (IZA), pp. 621-648.</w:t>
      </w:r>
    </w:p>
    <w:p w:rsidR="009F66D1" w:rsidRPr="00355EF3" w:rsidRDefault="009F66D1" w:rsidP="009F66D1">
      <w:pPr>
        <w:ind w:left="706" w:hanging="706"/>
        <w:rPr>
          <w:rFonts w:cs="Times New Roman"/>
          <w:szCs w:val="22"/>
        </w:rPr>
      </w:pPr>
      <w:r w:rsidRPr="00355EF3">
        <w:rPr>
          <w:rFonts w:cs="Times New Roman"/>
          <w:szCs w:val="22"/>
        </w:rPr>
        <w:t xml:space="preserve">Averett, S. L., H. E. Peters and D. M. Waldman (1997). “Tax Credits, Labor Supply, and Child Care.” </w:t>
      </w:r>
      <w:r w:rsidRPr="00355EF3">
        <w:rPr>
          <w:rFonts w:cs="Times New Roman"/>
          <w:i/>
          <w:iCs/>
          <w:szCs w:val="22"/>
        </w:rPr>
        <w:t>The Review of Economics and Statistics</w:t>
      </w:r>
      <w:r w:rsidRPr="00355EF3">
        <w:rPr>
          <w:rFonts w:cs="Times New Roman"/>
          <w:szCs w:val="22"/>
        </w:rPr>
        <w:t>, MIT Press, 79(1), pp. 125-135.</w:t>
      </w:r>
    </w:p>
    <w:p w:rsidR="009F66D1" w:rsidRPr="00355EF3" w:rsidRDefault="009F66D1" w:rsidP="009F66D1">
      <w:pPr>
        <w:ind w:left="706" w:hanging="706"/>
        <w:rPr>
          <w:rFonts w:cs="Times New Roman"/>
          <w:szCs w:val="22"/>
        </w:rPr>
      </w:pPr>
      <w:r w:rsidRPr="00355EF3">
        <w:rPr>
          <w:rFonts w:cs="Times New Roman"/>
          <w:szCs w:val="22"/>
        </w:rPr>
        <w:t xml:space="preserve">Baker, M., J. Gruber and K. Milligan (2005). “Universal childcare, maternal labor supply, and family well-being.” </w:t>
      </w:r>
      <w:r w:rsidRPr="00355EF3">
        <w:rPr>
          <w:rFonts w:cs="Times New Roman"/>
          <w:i/>
          <w:iCs/>
          <w:szCs w:val="22"/>
        </w:rPr>
        <w:t>NBER Working Paper</w:t>
      </w:r>
      <w:r w:rsidRPr="00355EF3">
        <w:rPr>
          <w:rFonts w:cs="Times New Roman"/>
          <w:szCs w:val="22"/>
        </w:rPr>
        <w:t>, No. 11832. Cambridge, MA: National Bureau of Economic Research.</w:t>
      </w:r>
    </w:p>
    <w:p w:rsidR="009F66D1" w:rsidRPr="00355EF3" w:rsidRDefault="009F66D1" w:rsidP="009F66D1">
      <w:pPr>
        <w:ind w:left="709" w:hanging="709"/>
        <w:rPr>
          <w:rFonts w:cs="Times New Roman"/>
          <w:szCs w:val="22"/>
        </w:rPr>
      </w:pPr>
      <w:r w:rsidRPr="00355EF3">
        <w:rPr>
          <w:rFonts w:cs="Times New Roman"/>
          <w:szCs w:val="22"/>
        </w:rPr>
        <w:t xml:space="preserve">Baker, M., J. Gruber and K. Milligan (2008). “Universal child care, maternal labor supply, and family well-being.” </w:t>
      </w:r>
      <w:r w:rsidRPr="00355EF3">
        <w:rPr>
          <w:rFonts w:cs="Times New Roman"/>
          <w:i/>
          <w:szCs w:val="22"/>
        </w:rPr>
        <w:t>NBER Working Paper</w:t>
      </w:r>
      <w:r w:rsidRPr="00355EF3">
        <w:rPr>
          <w:rFonts w:cs="Times New Roman"/>
          <w:szCs w:val="22"/>
        </w:rPr>
        <w:t>, No. 11832. Cambridge, MA: National Bureau of Economic Research. Updated version of 2005. www.econ.ubc.ca/kevinmil/research/baker-gruber-milligan-april2008.pdf.</w:t>
      </w:r>
    </w:p>
    <w:p w:rsidR="00D94DA1" w:rsidRPr="00355EF3" w:rsidRDefault="00D94DA1" w:rsidP="00D94DA1">
      <w:pPr>
        <w:ind w:left="706" w:hanging="706"/>
        <w:rPr>
          <w:rFonts w:cs="Times New Roman"/>
          <w:szCs w:val="22"/>
        </w:rPr>
      </w:pPr>
      <w:r w:rsidRPr="00355EF3">
        <w:rPr>
          <w:rFonts w:cs="Times New Roman"/>
          <w:szCs w:val="22"/>
        </w:rPr>
        <w:t xml:space="preserve">Barnett, W. S. (1985). “Benefit-Cost Analysis of the Perry Preschool Program and its Policy Implications.” </w:t>
      </w:r>
      <w:r w:rsidRPr="00355EF3">
        <w:rPr>
          <w:rFonts w:cs="Times New Roman"/>
          <w:i/>
          <w:iCs/>
          <w:szCs w:val="22"/>
        </w:rPr>
        <w:t>Educational Evaluation and Policy Analysis</w:t>
      </w:r>
      <w:r w:rsidRPr="00355EF3">
        <w:rPr>
          <w:rFonts w:cs="Times New Roman"/>
          <w:szCs w:val="22"/>
        </w:rPr>
        <w:t xml:space="preserve">, 7(4), pp. 333-342. </w:t>
      </w:r>
    </w:p>
    <w:p w:rsidR="00D94DA1" w:rsidRPr="00355EF3" w:rsidRDefault="00D94DA1" w:rsidP="00D94DA1">
      <w:pPr>
        <w:ind w:left="706" w:hanging="706"/>
        <w:rPr>
          <w:rFonts w:cs="Times New Roman"/>
          <w:szCs w:val="22"/>
        </w:rPr>
      </w:pPr>
      <w:r w:rsidRPr="00355EF3">
        <w:rPr>
          <w:rFonts w:cs="Times New Roman"/>
          <w:szCs w:val="22"/>
        </w:rPr>
        <w:t xml:space="preserve">Barnett, W. S. (1986). “Methodological Issues in Economic Evaluation of Early Intervention programs.” </w:t>
      </w:r>
      <w:r w:rsidRPr="00355EF3">
        <w:rPr>
          <w:rFonts w:cs="Times New Roman"/>
          <w:i/>
          <w:iCs/>
          <w:szCs w:val="22"/>
        </w:rPr>
        <w:t>Early Childhood Quarterly</w:t>
      </w:r>
      <w:r w:rsidRPr="00355EF3">
        <w:rPr>
          <w:rFonts w:cs="Times New Roman"/>
          <w:szCs w:val="22"/>
        </w:rPr>
        <w:t>,</w:t>
      </w:r>
      <w:r w:rsidRPr="00355EF3">
        <w:rPr>
          <w:rFonts w:cs="Times New Roman"/>
          <w:i/>
          <w:iCs/>
          <w:szCs w:val="22"/>
        </w:rPr>
        <w:t xml:space="preserve"> </w:t>
      </w:r>
      <w:r w:rsidRPr="00355EF3">
        <w:rPr>
          <w:rFonts w:cs="Times New Roman"/>
          <w:szCs w:val="22"/>
        </w:rPr>
        <w:t>1(3), pp. 249-268.</w:t>
      </w:r>
    </w:p>
    <w:p w:rsidR="00D94DA1" w:rsidRPr="00355EF3" w:rsidRDefault="00D94DA1" w:rsidP="00D94DA1">
      <w:pPr>
        <w:ind w:left="706" w:hanging="706"/>
        <w:rPr>
          <w:rFonts w:cs="Times New Roman"/>
          <w:szCs w:val="22"/>
        </w:rPr>
      </w:pPr>
      <w:r w:rsidRPr="00355EF3">
        <w:rPr>
          <w:rFonts w:cs="Times New Roman"/>
          <w:szCs w:val="22"/>
        </w:rPr>
        <w:t xml:space="preserve">Barnett, W. S. (1992). “Benefits of Compensatory Preschool Education.” </w:t>
      </w:r>
      <w:r w:rsidRPr="00355EF3">
        <w:rPr>
          <w:rFonts w:cs="Times New Roman"/>
          <w:i/>
          <w:iCs/>
          <w:szCs w:val="22"/>
        </w:rPr>
        <w:t xml:space="preserve">Journal of Human </w:t>
      </w:r>
      <w:r w:rsidRPr="00355EF3">
        <w:rPr>
          <w:rFonts w:cs="Times New Roman"/>
          <w:i/>
          <w:szCs w:val="22"/>
        </w:rPr>
        <w:t>Resources</w:t>
      </w:r>
      <w:r w:rsidRPr="00355EF3">
        <w:rPr>
          <w:rFonts w:cs="Times New Roman"/>
          <w:szCs w:val="22"/>
        </w:rPr>
        <w:t xml:space="preserve">, 27(2), pp. 279-312. </w:t>
      </w:r>
    </w:p>
    <w:p w:rsidR="00D94DA1" w:rsidRPr="00355EF3" w:rsidRDefault="00D94DA1" w:rsidP="00D94DA1">
      <w:pPr>
        <w:ind w:left="706" w:hanging="706"/>
        <w:rPr>
          <w:rFonts w:cs="Times New Roman"/>
          <w:szCs w:val="22"/>
        </w:rPr>
      </w:pPr>
      <w:r w:rsidRPr="00355EF3">
        <w:rPr>
          <w:rFonts w:cs="Times New Roman"/>
          <w:szCs w:val="22"/>
        </w:rPr>
        <w:t xml:space="preserve">Barnett, W. S. (1995). “Long-Term Effects of Early Childhood Programs on Cognitive and School Outcomes.” </w:t>
      </w:r>
      <w:r w:rsidRPr="00355EF3">
        <w:rPr>
          <w:rFonts w:cs="Times New Roman"/>
          <w:i/>
          <w:iCs/>
          <w:szCs w:val="22"/>
        </w:rPr>
        <w:t>The Future of Children</w:t>
      </w:r>
      <w:r w:rsidRPr="00355EF3">
        <w:rPr>
          <w:rFonts w:cs="Times New Roman"/>
          <w:szCs w:val="22"/>
        </w:rPr>
        <w:t>, 5(3), pp. 25-50.</w:t>
      </w:r>
    </w:p>
    <w:p w:rsidR="00D94DA1" w:rsidRPr="00355EF3" w:rsidRDefault="00D94DA1" w:rsidP="00D94DA1">
      <w:pPr>
        <w:ind w:left="706" w:hanging="706"/>
        <w:rPr>
          <w:rFonts w:cs="Times New Roman"/>
          <w:szCs w:val="22"/>
        </w:rPr>
      </w:pPr>
      <w:r w:rsidRPr="00355EF3">
        <w:rPr>
          <w:rFonts w:cs="Times New Roman"/>
          <w:szCs w:val="22"/>
        </w:rPr>
        <w:t xml:space="preserve">Barnett, W. S. (1996). </w:t>
      </w:r>
      <w:r w:rsidRPr="00355EF3">
        <w:rPr>
          <w:rFonts w:cs="Times New Roman"/>
          <w:i/>
          <w:szCs w:val="22"/>
        </w:rPr>
        <w:t>Lives in the balance: Age-27 benefit-cost analysis of the High/Scope Perry Preschool Program</w:t>
      </w:r>
      <w:r w:rsidRPr="00355EF3">
        <w:rPr>
          <w:rFonts w:cs="Times New Roman"/>
          <w:szCs w:val="22"/>
        </w:rPr>
        <w:t>. Ypsilanti, MI: High/Scope Educational Research Foundation.</w:t>
      </w:r>
    </w:p>
    <w:p w:rsidR="00D94DA1" w:rsidRPr="00355EF3" w:rsidRDefault="00D94DA1" w:rsidP="00D94DA1">
      <w:pPr>
        <w:ind w:left="706" w:hanging="706"/>
        <w:rPr>
          <w:rFonts w:cs="Times New Roman"/>
          <w:szCs w:val="22"/>
        </w:rPr>
      </w:pPr>
      <w:r w:rsidRPr="00355EF3">
        <w:rPr>
          <w:rFonts w:cs="Times New Roman"/>
          <w:szCs w:val="22"/>
        </w:rPr>
        <w:t xml:space="preserve">Barnett, W. S. (1998). “Long-Term Cognitive and Academic Effects of Early Childhood Education on Children in Poverty.” </w:t>
      </w:r>
      <w:r w:rsidRPr="00355EF3">
        <w:rPr>
          <w:rFonts w:cs="Times New Roman"/>
          <w:i/>
          <w:iCs/>
          <w:szCs w:val="22"/>
        </w:rPr>
        <w:t>Preventive Medicine,</w:t>
      </w:r>
      <w:r w:rsidRPr="00355EF3">
        <w:rPr>
          <w:rFonts w:cs="Times New Roman"/>
          <w:szCs w:val="22"/>
        </w:rPr>
        <w:t xml:space="preserve"> 27(2), pp. 204-207.</w:t>
      </w:r>
    </w:p>
    <w:p w:rsidR="00D94DA1" w:rsidRPr="00355EF3" w:rsidRDefault="00D94DA1" w:rsidP="00D94DA1">
      <w:pPr>
        <w:ind w:left="706" w:hanging="706"/>
        <w:rPr>
          <w:rFonts w:cs="Times New Roman"/>
          <w:szCs w:val="22"/>
        </w:rPr>
      </w:pPr>
      <w:r w:rsidRPr="00355EF3">
        <w:rPr>
          <w:rFonts w:cs="Times New Roman"/>
          <w:szCs w:val="22"/>
        </w:rPr>
        <w:lastRenderedPageBreak/>
        <w:t xml:space="preserve">Barnett, W. S. (2001). “Early childhood education.” In Molnar, A. (Ed.), </w:t>
      </w:r>
      <w:r w:rsidRPr="00355EF3">
        <w:rPr>
          <w:rFonts w:cs="Times New Roman"/>
          <w:i/>
          <w:iCs/>
          <w:szCs w:val="22"/>
        </w:rPr>
        <w:t xml:space="preserve">School reform proposals: The research evidence. </w:t>
      </w:r>
      <w:r w:rsidRPr="00355EF3">
        <w:rPr>
          <w:rFonts w:cs="Times New Roman"/>
          <w:szCs w:val="22"/>
        </w:rPr>
        <w:t xml:space="preserve">Greenwich, Conn: Information Age Publishing, pp. 1-26. </w:t>
      </w:r>
    </w:p>
    <w:p w:rsidR="00D94DA1" w:rsidRPr="00355EF3" w:rsidRDefault="00D94DA1" w:rsidP="00D94DA1">
      <w:pPr>
        <w:ind w:left="706" w:hanging="706"/>
        <w:rPr>
          <w:rFonts w:cs="Times New Roman"/>
          <w:szCs w:val="22"/>
        </w:rPr>
      </w:pPr>
      <w:r w:rsidRPr="00355EF3">
        <w:rPr>
          <w:rFonts w:cs="Times New Roman"/>
          <w:szCs w:val="22"/>
        </w:rPr>
        <w:t>Barnett, W. S. (2004). “Maximizing Returns for Prekindergarten Education.” Federal Reserve Bank of Cleveland Research Conference: Education and Economic Development. Cleveland, OH: Federal Reserve Bank of Cleveland, pp. 5-18.</w:t>
      </w:r>
    </w:p>
    <w:p w:rsidR="00DF03E3" w:rsidRPr="00355EF3" w:rsidRDefault="00D94DA1" w:rsidP="00DF03E3">
      <w:pPr>
        <w:ind w:left="706" w:hanging="706"/>
        <w:rPr>
          <w:rStyle w:val="HTMLCite"/>
          <w:rFonts w:cs="Times New Roman"/>
          <w:i w:val="0"/>
          <w:iCs w:val="0"/>
          <w:szCs w:val="22"/>
        </w:rPr>
      </w:pPr>
      <w:r w:rsidRPr="00355EF3">
        <w:rPr>
          <w:rFonts w:cs="Times New Roman"/>
          <w:szCs w:val="22"/>
        </w:rPr>
        <w:t>Barnett, W. S. (2004). “Child Care and Its Impact on Children 2-5 Years of Age</w:t>
      </w:r>
      <w:r w:rsidR="00DF03E3" w:rsidRPr="00355EF3">
        <w:rPr>
          <w:rFonts w:cs="Times New Roman"/>
          <w:szCs w:val="22"/>
        </w:rPr>
        <w:t>.</w:t>
      </w:r>
      <w:r w:rsidRPr="00355EF3">
        <w:rPr>
          <w:rFonts w:cs="Times New Roman"/>
          <w:szCs w:val="22"/>
        </w:rPr>
        <w:t xml:space="preserve"> Commenting: MacCartney, Peisner-Feinberg and Ahnert and Lamb.” In Tremblay, R.E., R.G. Barr and R. DeV. Peters </w:t>
      </w:r>
      <w:r w:rsidRPr="00355EF3">
        <w:rPr>
          <w:rFonts w:cs="Times New Roman"/>
          <w:iCs/>
          <w:szCs w:val="22"/>
        </w:rPr>
        <w:t>(Eds.)</w:t>
      </w:r>
      <w:r w:rsidRPr="00355EF3">
        <w:rPr>
          <w:rFonts w:cs="Times New Roman"/>
          <w:szCs w:val="22"/>
        </w:rPr>
        <w:t>, pp. 1-5.</w:t>
      </w:r>
      <w:r w:rsidR="00DF03E3" w:rsidRPr="00355EF3">
        <w:rPr>
          <w:rFonts w:cs="Times New Roman"/>
          <w:i/>
          <w:szCs w:val="22"/>
        </w:rPr>
        <w:t xml:space="preserve"> Encyclopedia on Early </w:t>
      </w:r>
      <w:r w:rsidR="00DF03E3" w:rsidRPr="00355EF3">
        <w:rPr>
          <w:rFonts w:cs="Times New Roman"/>
          <w:i/>
          <w:iCs/>
          <w:szCs w:val="22"/>
        </w:rPr>
        <w:t>Childhood Development [online]</w:t>
      </w:r>
      <w:r w:rsidR="00DF03E3" w:rsidRPr="00355EF3">
        <w:rPr>
          <w:rFonts w:cs="Times New Roman"/>
          <w:szCs w:val="22"/>
        </w:rPr>
        <w:t>,</w:t>
      </w:r>
      <w:r w:rsidR="00DF03E3" w:rsidRPr="00355EF3">
        <w:rPr>
          <w:rFonts w:cs="Times New Roman"/>
          <w:i/>
          <w:iCs/>
          <w:color w:val="000000"/>
          <w:szCs w:val="22"/>
        </w:rPr>
        <w:t xml:space="preserve"> </w:t>
      </w:r>
      <w:r w:rsidR="00DF03E3" w:rsidRPr="00355EF3">
        <w:rPr>
          <w:rFonts w:cs="Times New Roman"/>
          <w:iCs/>
          <w:color w:val="000000"/>
          <w:szCs w:val="22"/>
        </w:rPr>
        <w:t xml:space="preserve">Montreal, Quebec, Centre of Excellence for Early Childhood Development. from </w:t>
      </w:r>
      <w:r w:rsidR="00DF03E3" w:rsidRPr="00355EF3">
        <w:rPr>
          <w:rStyle w:val="HTMLCite"/>
          <w:rFonts w:cs="Times New Roman"/>
          <w:i w:val="0"/>
          <w:color w:val="000000"/>
          <w:szCs w:val="22"/>
        </w:rPr>
        <w:t>www.</w:t>
      </w:r>
      <w:r w:rsidR="00DF03E3" w:rsidRPr="00355EF3">
        <w:rPr>
          <w:rStyle w:val="HTMLCite"/>
          <w:rFonts w:cs="Times New Roman"/>
          <w:bCs/>
          <w:i w:val="0"/>
          <w:color w:val="000000"/>
          <w:szCs w:val="22"/>
        </w:rPr>
        <w:t>child</w:t>
      </w:r>
      <w:r w:rsidR="00DF03E3" w:rsidRPr="00355EF3">
        <w:rPr>
          <w:rStyle w:val="HTMLCite"/>
          <w:rFonts w:cs="Times New Roman"/>
          <w:i w:val="0"/>
          <w:color w:val="000000"/>
          <w:szCs w:val="22"/>
        </w:rPr>
        <w:t>-</w:t>
      </w:r>
      <w:r w:rsidR="00DF03E3" w:rsidRPr="00355EF3">
        <w:rPr>
          <w:rStyle w:val="HTMLCite"/>
          <w:rFonts w:cs="Times New Roman"/>
          <w:bCs/>
          <w:i w:val="0"/>
          <w:color w:val="000000"/>
          <w:szCs w:val="22"/>
        </w:rPr>
        <w:t>encyclopedia</w:t>
      </w:r>
      <w:r w:rsidR="00DF03E3" w:rsidRPr="00355EF3">
        <w:rPr>
          <w:rStyle w:val="HTMLCite"/>
          <w:rFonts w:cs="Times New Roman"/>
          <w:i w:val="0"/>
          <w:color w:val="000000"/>
          <w:szCs w:val="22"/>
        </w:rPr>
        <w:t>.com.</w:t>
      </w:r>
    </w:p>
    <w:p w:rsidR="00D94DA1" w:rsidRPr="00355EF3" w:rsidRDefault="00D94DA1" w:rsidP="00D94DA1">
      <w:pPr>
        <w:ind w:left="706" w:hanging="706"/>
        <w:rPr>
          <w:rFonts w:cs="Times New Roman"/>
          <w:szCs w:val="22"/>
        </w:rPr>
      </w:pPr>
      <w:r w:rsidRPr="00355EF3">
        <w:rPr>
          <w:rFonts w:cs="Times New Roman"/>
          <w:szCs w:val="22"/>
        </w:rPr>
        <w:t>Barnett, W. S., (2006). “Research on the Benefits of Preschool Education: Securing High Returns from Preschool for All Children.” Presentation at the Second Annual Conference on “Building the Economic Case for Investments in Preschool”,  New York, NY.</w:t>
      </w:r>
    </w:p>
    <w:p w:rsidR="00353E94" w:rsidRPr="00355EF3" w:rsidRDefault="0023080D" w:rsidP="00353E94">
      <w:pPr>
        <w:ind w:left="709" w:hanging="709"/>
        <w:rPr>
          <w:rFonts w:cs="Times New Roman"/>
          <w:color w:val="000000"/>
          <w:szCs w:val="22"/>
          <w:lang w:eastAsia="en-CA"/>
        </w:rPr>
      </w:pPr>
      <w:hyperlink r:id="rId16" w:history="1">
        <w:r w:rsidR="00353E94" w:rsidRPr="00355EF3">
          <w:rPr>
            <w:rFonts w:cs="Times New Roman"/>
            <w:color w:val="000000"/>
            <w:szCs w:val="22"/>
            <w:lang w:eastAsia="en-CA"/>
          </w:rPr>
          <w:t>Barnett, W. S. (2008). “Preschool education and its lasting effects: Research and policy Implications.” Boulder and Tempe: Education and the Public Interest Center &amp; Education Policy Research Unit. Retrieved from http://epicpolicy.org/publication/preschooleducation</w:t>
        </w:r>
      </w:hyperlink>
    </w:p>
    <w:p w:rsidR="00D94DA1" w:rsidRPr="00355EF3" w:rsidRDefault="00D94DA1" w:rsidP="00D94DA1">
      <w:pPr>
        <w:ind w:left="706" w:hanging="706"/>
        <w:rPr>
          <w:rFonts w:cs="Times New Roman"/>
          <w:szCs w:val="22"/>
        </w:rPr>
      </w:pPr>
      <w:r w:rsidRPr="00355EF3">
        <w:rPr>
          <w:rFonts w:cs="Times New Roman"/>
          <w:szCs w:val="22"/>
        </w:rPr>
        <w:t>Barne</w:t>
      </w:r>
      <w:r w:rsidR="00353E94" w:rsidRPr="00355EF3">
        <w:rPr>
          <w:rFonts w:cs="Times New Roman"/>
          <w:szCs w:val="22"/>
        </w:rPr>
        <w:t>tt, W. S., C. Lamy, and K. Jung</w:t>
      </w:r>
      <w:r w:rsidRPr="00355EF3">
        <w:rPr>
          <w:rFonts w:cs="Times New Roman"/>
          <w:szCs w:val="22"/>
        </w:rPr>
        <w:t xml:space="preserve"> (2005). </w:t>
      </w:r>
      <w:r w:rsidRPr="00355EF3">
        <w:rPr>
          <w:rFonts w:cs="Times New Roman"/>
          <w:i/>
          <w:szCs w:val="22"/>
        </w:rPr>
        <w:t>The Effects of State Prekindergarten Programs on Young Children’s School Readiness in Five States</w:t>
      </w:r>
      <w:r w:rsidRPr="00355EF3">
        <w:rPr>
          <w:rFonts w:cs="Times New Roman"/>
          <w:szCs w:val="22"/>
        </w:rPr>
        <w:t>. New Brunswick, NJ: National Institute for Early Education Research.</w:t>
      </w:r>
    </w:p>
    <w:p w:rsidR="00353E94" w:rsidRPr="00355EF3" w:rsidRDefault="00353E94" w:rsidP="00353E94">
      <w:pPr>
        <w:ind w:left="709" w:hanging="709"/>
        <w:rPr>
          <w:rFonts w:cs="Times New Roman"/>
          <w:color w:val="000000"/>
          <w:szCs w:val="22"/>
          <w:lang w:eastAsia="en-CA"/>
        </w:rPr>
      </w:pPr>
      <w:r w:rsidRPr="00355EF3">
        <w:rPr>
          <w:rFonts w:cs="Times New Roman"/>
          <w:color w:val="000000"/>
          <w:szCs w:val="22"/>
          <w:lang w:eastAsia="en-CA"/>
        </w:rPr>
        <w:t xml:space="preserve">Barnett, W. S., and L. N. Masse (2007). “Comparative benefit–cost analysis of the Abecedarian program and its policy implications.” </w:t>
      </w:r>
      <w:r w:rsidRPr="00355EF3">
        <w:rPr>
          <w:rFonts w:cs="Times New Roman"/>
          <w:i/>
          <w:iCs/>
          <w:color w:val="000000"/>
          <w:szCs w:val="22"/>
          <w:lang w:eastAsia="en-CA"/>
        </w:rPr>
        <w:t>Economics of Education Review</w:t>
      </w:r>
      <w:r w:rsidRPr="00355EF3">
        <w:rPr>
          <w:rFonts w:cs="Times New Roman"/>
          <w:color w:val="000000"/>
          <w:szCs w:val="22"/>
          <w:lang w:eastAsia="en-CA"/>
        </w:rPr>
        <w:t>,  26(1), pp. 113-125.</w:t>
      </w:r>
    </w:p>
    <w:p w:rsidR="00353E94" w:rsidRPr="00355EF3" w:rsidRDefault="00353E94" w:rsidP="00353E94">
      <w:pPr>
        <w:ind w:left="709" w:hanging="709"/>
        <w:rPr>
          <w:rFonts w:cs="Times New Roman"/>
          <w:color w:val="000000"/>
          <w:szCs w:val="22"/>
          <w:lang w:eastAsia="en-CA"/>
        </w:rPr>
      </w:pPr>
      <w:r w:rsidRPr="00355EF3">
        <w:rPr>
          <w:rFonts w:cs="Times New Roman"/>
          <w:color w:val="000000"/>
          <w:szCs w:val="22"/>
          <w:lang w:eastAsia="en-CA"/>
        </w:rPr>
        <w:t>Barnett, W.S., J. Young and L.J. Schweinhart (1994). “How preschool education contributes to cognitive development and school success: An empirical model.” Paper presented at the Rutgers Invitational Symposium on Education, New Brunswick, NJ, October 28, 1994.</w:t>
      </w:r>
    </w:p>
    <w:p w:rsidR="008F2188" w:rsidRPr="00355EF3" w:rsidRDefault="008F2188" w:rsidP="008F2188">
      <w:pPr>
        <w:ind w:left="706" w:hanging="706"/>
        <w:rPr>
          <w:rFonts w:cs="Times New Roman"/>
          <w:szCs w:val="22"/>
        </w:rPr>
      </w:pPr>
      <w:r w:rsidRPr="00355EF3">
        <w:rPr>
          <w:rFonts w:cs="Times New Roman"/>
          <w:szCs w:val="22"/>
        </w:rPr>
        <w:t>Bartik, T</w:t>
      </w:r>
      <w:r w:rsidR="003D3A18" w:rsidRPr="00355EF3">
        <w:rPr>
          <w:rFonts w:cs="Times New Roman"/>
          <w:szCs w:val="22"/>
        </w:rPr>
        <w:t>.</w:t>
      </w:r>
      <w:r w:rsidRPr="00355EF3">
        <w:rPr>
          <w:rFonts w:cs="Times New Roman"/>
          <w:szCs w:val="22"/>
        </w:rPr>
        <w:t xml:space="preserve"> J.</w:t>
      </w:r>
      <w:r w:rsidR="003D3A18" w:rsidRPr="00355EF3">
        <w:rPr>
          <w:rFonts w:cs="Times New Roman"/>
          <w:szCs w:val="22"/>
        </w:rPr>
        <w:t>,</w:t>
      </w:r>
      <w:r w:rsidRPr="00355EF3">
        <w:rPr>
          <w:rFonts w:cs="Times New Roman"/>
          <w:szCs w:val="22"/>
        </w:rPr>
        <w:t xml:space="preserve"> (2006</w:t>
      </w:r>
      <w:r w:rsidR="003E36E7" w:rsidRPr="00355EF3">
        <w:rPr>
          <w:rFonts w:cs="Times New Roman"/>
          <w:szCs w:val="22"/>
        </w:rPr>
        <w:t>a</w:t>
      </w:r>
      <w:r w:rsidRPr="00355EF3">
        <w:rPr>
          <w:rFonts w:cs="Times New Roman"/>
          <w:szCs w:val="22"/>
        </w:rPr>
        <w:t>). “The Economic Development Benefits of Universal Preschool Education Compared to Traditional Economic Development Programs”, W.E. Upjohn Institute for Employment Research, pp. 1-52.</w:t>
      </w:r>
    </w:p>
    <w:p w:rsidR="008F2188" w:rsidRPr="00355EF3" w:rsidRDefault="008F2188" w:rsidP="008F2188">
      <w:pPr>
        <w:ind w:left="706" w:hanging="706"/>
        <w:rPr>
          <w:rFonts w:cs="Times New Roman"/>
          <w:szCs w:val="22"/>
        </w:rPr>
      </w:pPr>
      <w:r w:rsidRPr="00355EF3">
        <w:rPr>
          <w:rFonts w:cs="Times New Roman"/>
          <w:szCs w:val="22"/>
        </w:rPr>
        <w:t>Bartik, T</w:t>
      </w:r>
      <w:r w:rsidR="003D3A18" w:rsidRPr="00355EF3">
        <w:rPr>
          <w:rFonts w:cs="Times New Roman"/>
          <w:szCs w:val="22"/>
        </w:rPr>
        <w:t>.</w:t>
      </w:r>
      <w:r w:rsidRPr="00355EF3">
        <w:rPr>
          <w:rFonts w:cs="Times New Roman"/>
          <w:szCs w:val="22"/>
        </w:rPr>
        <w:t xml:space="preserve"> J.</w:t>
      </w:r>
      <w:r w:rsidR="003D3A18" w:rsidRPr="00355EF3">
        <w:rPr>
          <w:rFonts w:cs="Times New Roman"/>
          <w:szCs w:val="22"/>
        </w:rPr>
        <w:t>,</w:t>
      </w:r>
      <w:r w:rsidRPr="00355EF3">
        <w:rPr>
          <w:rFonts w:cs="Times New Roman"/>
          <w:szCs w:val="22"/>
        </w:rPr>
        <w:t xml:space="preserve"> </w:t>
      </w:r>
      <w:r w:rsidR="0029570F" w:rsidRPr="00355EF3">
        <w:rPr>
          <w:rFonts w:cs="Times New Roman"/>
          <w:szCs w:val="22"/>
        </w:rPr>
        <w:t>(2006</w:t>
      </w:r>
      <w:r w:rsidR="003E36E7" w:rsidRPr="00355EF3">
        <w:rPr>
          <w:rFonts w:cs="Times New Roman"/>
          <w:szCs w:val="22"/>
        </w:rPr>
        <w:t>b</w:t>
      </w:r>
      <w:r w:rsidR="0029570F" w:rsidRPr="00355EF3">
        <w:rPr>
          <w:rFonts w:cs="Times New Roman"/>
          <w:szCs w:val="22"/>
        </w:rPr>
        <w:t xml:space="preserve">). </w:t>
      </w:r>
      <w:r w:rsidRPr="00355EF3">
        <w:rPr>
          <w:rFonts w:cs="Times New Roman"/>
          <w:szCs w:val="22"/>
        </w:rPr>
        <w:t>“Taking Preschool Education Seriously as an Economic Development Program: Effects on Jobs and Earnings of States Residents Compared to Traditional Economic Development Programs,” Working Paper (Washington, DC: Committee for Economic Development, May 2006), pp. 1-174</w:t>
      </w:r>
    </w:p>
    <w:p w:rsidR="00353E94" w:rsidRPr="00355EF3" w:rsidRDefault="00353E94" w:rsidP="00353E94">
      <w:pPr>
        <w:ind w:left="709" w:hanging="709"/>
        <w:rPr>
          <w:rFonts w:cs="Times New Roman"/>
          <w:color w:val="000000"/>
          <w:szCs w:val="22"/>
          <w:lang w:eastAsia="en-CA"/>
        </w:rPr>
      </w:pPr>
      <w:r w:rsidRPr="00355EF3">
        <w:rPr>
          <w:rFonts w:cs="Times New Roman"/>
          <w:color w:val="000000"/>
          <w:szCs w:val="22"/>
          <w:lang w:eastAsia="en-CA"/>
        </w:rPr>
        <w:t xml:space="preserve">Belfield, C. R. (2005a). “An Economic Analysis of Pre-K in Louisiana.” , </w:t>
      </w:r>
      <w:r w:rsidRPr="00355EF3">
        <w:rPr>
          <w:rFonts w:cs="Times New Roman"/>
          <w:i/>
          <w:iCs/>
          <w:color w:val="000000"/>
          <w:szCs w:val="22"/>
          <w:lang w:eastAsia="en-CA"/>
        </w:rPr>
        <w:t>Pre-K Now</w:t>
      </w:r>
      <w:r w:rsidRPr="00355EF3">
        <w:rPr>
          <w:rFonts w:cs="Times New Roman"/>
          <w:color w:val="000000"/>
          <w:szCs w:val="22"/>
          <w:lang w:eastAsia="en-CA"/>
        </w:rPr>
        <w:t>, June 2005, pp. 1-16.</w:t>
      </w:r>
    </w:p>
    <w:p w:rsidR="00904432" w:rsidRPr="00355EF3" w:rsidRDefault="00904432" w:rsidP="00904432">
      <w:pPr>
        <w:ind w:left="706" w:hanging="706"/>
        <w:rPr>
          <w:rFonts w:cs="Times New Roman"/>
          <w:szCs w:val="22"/>
        </w:rPr>
      </w:pPr>
      <w:r w:rsidRPr="00355EF3">
        <w:rPr>
          <w:rFonts w:cs="Times New Roman"/>
          <w:szCs w:val="22"/>
        </w:rPr>
        <w:t>Belfield, C. R (2005</w:t>
      </w:r>
      <w:r w:rsidR="00353E94" w:rsidRPr="00355EF3">
        <w:rPr>
          <w:rFonts w:cs="Times New Roman"/>
          <w:szCs w:val="22"/>
        </w:rPr>
        <w:t>b</w:t>
      </w:r>
      <w:r w:rsidRPr="00355EF3">
        <w:rPr>
          <w:rFonts w:cs="Times New Roman"/>
          <w:szCs w:val="22"/>
        </w:rPr>
        <w:t xml:space="preserve">). “The Fiscal Impacts of Universal Pre-K: Case Study Analysis for Three States”, </w:t>
      </w:r>
      <w:r w:rsidRPr="00355EF3">
        <w:rPr>
          <w:rFonts w:cs="Times New Roman"/>
          <w:i/>
          <w:iCs/>
          <w:szCs w:val="22"/>
        </w:rPr>
        <w:t>Working Paper</w:t>
      </w:r>
      <w:r w:rsidRPr="00355EF3">
        <w:rPr>
          <w:rFonts w:cs="Times New Roman"/>
          <w:szCs w:val="22"/>
        </w:rPr>
        <w:t>, No. 6 (Washington, DC: Invest in Kids Working Group), pp. 1-24.</w:t>
      </w:r>
    </w:p>
    <w:p w:rsidR="008F2188" w:rsidRPr="00355EF3" w:rsidRDefault="008F2188" w:rsidP="008F2188">
      <w:pPr>
        <w:ind w:left="706" w:hanging="706"/>
        <w:rPr>
          <w:rFonts w:cs="Times New Roman"/>
          <w:szCs w:val="22"/>
        </w:rPr>
      </w:pPr>
      <w:r w:rsidRPr="00355EF3">
        <w:rPr>
          <w:rFonts w:cs="Times New Roman"/>
          <w:szCs w:val="22"/>
        </w:rPr>
        <w:t>Belfield, C</w:t>
      </w:r>
      <w:r w:rsidR="00904432" w:rsidRPr="00355EF3">
        <w:rPr>
          <w:rFonts w:cs="Times New Roman"/>
          <w:szCs w:val="22"/>
        </w:rPr>
        <w:t>.</w:t>
      </w:r>
      <w:r w:rsidRPr="00355EF3">
        <w:rPr>
          <w:rFonts w:cs="Times New Roman"/>
          <w:szCs w:val="22"/>
        </w:rPr>
        <w:t xml:space="preserve"> R.</w:t>
      </w:r>
      <w:r w:rsidR="00904432" w:rsidRPr="00355EF3">
        <w:rPr>
          <w:rFonts w:cs="Times New Roman"/>
          <w:szCs w:val="22"/>
        </w:rPr>
        <w:t>,</w:t>
      </w:r>
      <w:r w:rsidRPr="00355EF3">
        <w:rPr>
          <w:rFonts w:cs="Times New Roman"/>
          <w:szCs w:val="22"/>
        </w:rPr>
        <w:t xml:space="preserve"> (2007). “The Economics of Early Childhood Education Introduction to the special issue: ‘The economics of early childhood education’”, </w:t>
      </w:r>
      <w:r w:rsidRPr="00355EF3">
        <w:rPr>
          <w:rFonts w:cs="Times New Roman"/>
          <w:i/>
          <w:iCs/>
          <w:szCs w:val="22"/>
        </w:rPr>
        <w:t>Economics of Education Review</w:t>
      </w:r>
      <w:r w:rsidRPr="00355EF3">
        <w:rPr>
          <w:rFonts w:cs="Times New Roman"/>
          <w:szCs w:val="22"/>
        </w:rPr>
        <w:t>, 26(1), pp. 1-2.</w:t>
      </w:r>
    </w:p>
    <w:p w:rsidR="00904432" w:rsidRPr="00355EF3" w:rsidRDefault="00904432" w:rsidP="00904432">
      <w:pPr>
        <w:ind w:left="706" w:hanging="706"/>
        <w:rPr>
          <w:rFonts w:cs="Times New Roman"/>
          <w:szCs w:val="22"/>
        </w:rPr>
      </w:pPr>
      <w:r w:rsidRPr="00355EF3">
        <w:rPr>
          <w:rFonts w:cs="Times New Roman"/>
          <w:szCs w:val="22"/>
        </w:rPr>
        <w:t>Belfield, C. and A. Neveu, (2006). “The Macroeconomics of Pre-Schooling: Simulating the Effects of Universal Early Childhood Education on the U.S. Economy”, Research Report for the National Institute for Early Education Research, Rutgers University.</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Belsky, J. (1984). “Two waves of day-care research: Developmental effects and conditions of quality.” In R. Ainsle (Ed.),</w:t>
      </w:r>
      <w:r w:rsidRPr="00355EF3">
        <w:rPr>
          <w:rFonts w:cs="Times New Roman"/>
          <w:i/>
          <w:iCs/>
          <w:color w:val="000000"/>
          <w:szCs w:val="22"/>
          <w:lang w:eastAsia="en-CA"/>
        </w:rPr>
        <w:t xml:space="preserve"> The child and the day-care setting.</w:t>
      </w:r>
      <w:r w:rsidRPr="00355EF3">
        <w:rPr>
          <w:rFonts w:cs="Times New Roman"/>
          <w:color w:val="000000"/>
          <w:szCs w:val="22"/>
          <w:lang w:eastAsia="en-CA"/>
        </w:rPr>
        <w:t xml:space="preserve"> New York: Praeger.</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 xml:space="preserve">Belsky, J. (1986). “Infant day-care: A cause for concern?” </w:t>
      </w:r>
      <w:r w:rsidRPr="00355EF3">
        <w:rPr>
          <w:rFonts w:cs="Times New Roman"/>
          <w:i/>
          <w:iCs/>
          <w:color w:val="000000"/>
          <w:szCs w:val="22"/>
          <w:lang w:eastAsia="en-CA"/>
        </w:rPr>
        <w:t>Zero to Three</w:t>
      </w:r>
      <w:r w:rsidRPr="00355EF3">
        <w:rPr>
          <w:rFonts w:cs="Times New Roman"/>
          <w:color w:val="000000"/>
          <w:szCs w:val="22"/>
          <w:lang w:eastAsia="en-CA"/>
        </w:rPr>
        <w:t>, 6, pp. 1-7.</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 xml:space="preserve">Belsky, J. (1987). “Risks remain.” </w:t>
      </w:r>
      <w:r w:rsidRPr="00355EF3">
        <w:rPr>
          <w:rFonts w:cs="Times New Roman"/>
          <w:i/>
          <w:iCs/>
          <w:color w:val="000000"/>
          <w:szCs w:val="22"/>
          <w:lang w:eastAsia="en-CA"/>
        </w:rPr>
        <w:t>Zero to Three</w:t>
      </w:r>
      <w:r w:rsidRPr="00355EF3">
        <w:rPr>
          <w:rFonts w:cs="Times New Roman"/>
          <w:color w:val="000000"/>
          <w:szCs w:val="22"/>
          <w:lang w:eastAsia="en-CA"/>
        </w:rPr>
        <w:t>, 7, pp. 22-24.</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lastRenderedPageBreak/>
        <w:t xml:space="preserve">Belsky, J., and L. Steinberg (1978). “The effects of day care: A critical review.” </w:t>
      </w:r>
      <w:r w:rsidRPr="00355EF3">
        <w:rPr>
          <w:rFonts w:cs="Times New Roman"/>
          <w:i/>
          <w:iCs/>
          <w:color w:val="000000"/>
          <w:szCs w:val="22"/>
          <w:lang w:eastAsia="en-CA"/>
        </w:rPr>
        <w:t>Child Development</w:t>
      </w:r>
      <w:r w:rsidRPr="00355EF3">
        <w:rPr>
          <w:rFonts w:cs="Times New Roman"/>
          <w:color w:val="000000"/>
          <w:szCs w:val="22"/>
          <w:lang w:eastAsia="en-CA"/>
        </w:rPr>
        <w:t>, 49, pp. 929-949.</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Belsky, J., L. Steinberg and A. Walker (1982). “The ecology of day-care.” In M. Lamb (Ed.),</w:t>
      </w:r>
      <w:r w:rsidRPr="00355EF3">
        <w:rPr>
          <w:rFonts w:cs="Times New Roman"/>
          <w:i/>
          <w:iCs/>
          <w:color w:val="000000"/>
          <w:szCs w:val="22"/>
          <w:lang w:eastAsia="en-CA"/>
        </w:rPr>
        <w:t xml:space="preserve"> Childrearing in nontraditional families. </w:t>
      </w:r>
      <w:r w:rsidRPr="00355EF3">
        <w:rPr>
          <w:rFonts w:cs="Times New Roman"/>
          <w:color w:val="000000"/>
          <w:szCs w:val="22"/>
          <w:lang w:eastAsia="en-CA"/>
        </w:rPr>
        <w:t>Hillsdale, NJ: Erlbaum.</w:t>
      </w:r>
    </w:p>
    <w:p w:rsidR="008F2188" w:rsidRPr="00355EF3" w:rsidRDefault="00402B60" w:rsidP="008F2188">
      <w:pPr>
        <w:ind w:left="706" w:hanging="706"/>
        <w:rPr>
          <w:rFonts w:cs="Times New Roman"/>
          <w:szCs w:val="22"/>
        </w:rPr>
      </w:pPr>
      <w:r w:rsidRPr="00355EF3">
        <w:rPr>
          <w:rFonts w:cs="Times New Roman"/>
          <w:szCs w:val="22"/>
        </w:rPr>
        <w:t>Birch, E.-R.,</w:t>
      </w:r>
      <w:r w:rsidR="008F2188" w:rsidRPr="00355EF3">
        <w:rPr>
          <w:rFonts w:cs="Times New Roman"/>
          <w:szCs w:val="22"/>
        </w:rPr>
        <w:t xml:space="preserve"> (2005). </w:t>
      </w:r>
      <w:r w:rsidR="00AA03B8" w:rsidRPr="00355EF3">
        <w:rPr>
          <w:rFonts w:cs="Times New Roman"/>
          <w:szCs w:val="22"/>
        </w:rPr>
        <w:t>“</w:t>
      </w:r>
      <w:r w:rsidR="008F2188" w:rsidRPr="00355EF3">
        <w:rPr>
          <w:rFonts w:cs="Times New Roman"/>
          <w:szCs w:val="22"/>
        </w:rPr>
        <w:t>Studies of the Labour Supply of Australian Women: What Have We Learned</w:t>
      </w:r>
      <w:r w:rsidR="00AA03B8" w:rsidRPr="00355EF3">
        <w:rPr>
          <w:rFonts w:cs="Times New Roman"/>
          <w:szCs w:val="22"/>
        </w:rPr>
        <w:t>”</w:t>
      </w:r>
      <w:r w:rsidR="008F2188" w:rsidRPr="00355EF3">
        <w:rPr>
          <w:rFonts w:cs="Times New Roman"/>
          <w:szCs w:val="22"/>
        </w:rPr>
        <w:t xml:space="preserve">, </w:t>
      </w:r>
      <w:r w:rsidR="008F2188" w:rsidRPr="00355EF3">
        <w:rPr>
          <w:rFonts w:cs="Times New Roman"/>
          <w:i/>
          <w:iCs/>
          <w:szCs w:val="22"/>
        </w:rPr>
        <w:t>The Economic Record</w:t>
      </w:r>
      <w:r w:rsidR="008F2188" w:rsidRPr="00355EF3">
        <w:rPr>
          <w:rFonts w:cs="Times New Roman"/>
          <w:szCs w:val="22"/>
        </w:rPr>
        <w:t>, 81(252), pp. 65-84.</w:t>
      </w:r>
    </w:p>
    <w:p w:rsidR="008F2188" w:rsidRPr="00355EF3" w:rsidRDefault="00353E94" w:rsidP="008F2188">
      <w:pPr>
        <w:ind w:left="706" w:hanging="706"/>
        <w:rPr>
          <w:rFonts w:cs="Times New Roman"/>
          <w:szCs w:val="22"/>
        </w:rPr>
      </w:pPr>
      <w:r w:rsidRPr="00355EF3">
        <w:rPr>
          <w:rFonts w:cs="Times New Roman"/>
          <w:szCs w:val="22"/>
        </w:rPr>
        <w:t>Blank, R.</w:t>
      </w:r>
      <w:r w:rsidR="008F2188" w:rsidRPr="00355EF3">
        <w:rPr>
          <w:rFonts w:cs="Times New Roman"/>
          <w:szCs w:val="22"/>
        </w:rPr>
        <w:t>M</w:t>
      </w:r>
      <w:r w:rsidR="00402B60" w:rsidRPr="00355EF3">
        <w:rPr>
          <w:rFonts w:cs="Times New Roman"/>
          <w:szCs w:val="22"/>
        </w:rPr>
        <w:t>.,</w:t>
      </w:r>
      <w:r w:rsidR="008F2188" w:rsidRPr="00355EF3">
        <w:rPr>
          <w:rFonts w:cs="Times New Roman"/>
          <w:szCs w:val="22"/>
        </w:rPr>
        <w:t xml:space="preserve"> (1989). </w:t>
      </w:r>
      <w:r w:rsidR="00AA03B8" w:rsidRPr="00355EF3">
        <w:rPr>
          <w:rFonts w:cs="Times New Roman"/>
          <w:szCs w:val="22"/>
        </w:rPr>
        <w:t>“</w:t>
      </w:r>
      <w:r w:rsidR="008F2188" w:rsidRPr="00355EF3">
        <w:rPr>
          <w:rFonts w:cs="Times New Roman"/>
          <w:szCs w:val="22"/>
        </w:rPr>
        <w:t>The Role of Part-Time Work in Women's Labor Market Choices over Time,</w:t>
      </w:r>
      <w:r w:rsidR="00AA03B8" w:rsidRPr="00355EF3">
        <w:rPr>
          <w:rFonts w:cs="Times New Roman"/>
          <w:szCs w:val="22"/>
        </w:rPr>
        <w:t>”</w:t>
      </w:r>
      <w:r w:rsidR="008F2188" w:rsidRPr="00355EF3">
        <w:rPr>
          <w:rFonts w:cs="Times New Roman"/>
          <w:szCs w:val="22"/>
        </w:rPr>
        <w:t xml:space="preserve"> </w:t>
      </w:r>
      <w:r w:rsidR="008F2188" w:rsidRPr="00355EF3">
        <w:rPr>
          <w:rFonts w:cs="Times New Roman"/>
          <w:i/>
          <w:iCs/>
          <w:szCs w:val="22"/>
        </w:rPr>
        <w:t>American Economic Review</w:t>
      </w:r>
      <w:r w:rsidR="008F2188" w:rsidRPr="00355EF3">
        <w:rPr>
          <w:rFonts w:cs="Times New Roman"/>
          <w:szCs w:val="22"/>
        </w:rPr>
        <w:t>, 79(2), pp. 295-99.</w:t>
      </w:r>
    </w:p>
    <w:p w:rsidR="008F2188" w:rsidRPr="00355EF3" w:rsidRDefault="008F2188" w:rsidP="008F2188">
      <w:pPr>
        <w:ind w:left="706" w:hanging="706"/>
        <w:rPr>
          <w:rFonts w:cs="Times New Roman"/>
          <w:szCs w:val="22"/>
        </w:rPr>
      </w:pPr>
      <w:r w:rsidRPr="00355EF3">
        <w:rPr>
          <w:rFonts w:cs="Times New Roman"/>
          <w:szCs w:val="22"/>
        </w:rPr>
        <w:t xml:space="preserve">Blau, D.M. and </w:t>
      </w:r>
      <w:r w:rsidR="004A159F" w:rsidRPr="00355EF3">
        <w:rPr>
          <w:rFonts w:cs="Times New Roman"/>
          <w:szCs w:val="22"/>
        </w:rPr>
        <w:t xml:space="preserve">P.K. </w:t>
      </w:r>
      <w:r w:rsidRPr="00355EF3">
        <w:rPr>
          <w:rFonts w:cs="Times New Roman"/>
          <w:szCs w:val="22"/>
        </w:rPr>
        <w:t xml:space="preserve">Robins, (1988). “Child-Care Costs and Family Labor Supply”, </w:t>
      </w:r>
      <w:r w:rsidRPr="00355EF3">
        <w:rPr>
          <w:rFonts w:cs="Times New Roman"/>
          <w:i/>
          <w:iCs/>
          <w:szCs w:val="22"/>
        </w:rPr>
        <w:t>Review of Economics and Statistics</w:t>
      </w:r>
      <w:r w:rsidRPr="00355EF3">
        <w:rPr>
          <w:rFonts w:cs="Times New Roman"/>
          <w:szCs w:val="22"/>
        </w:rPr>
        <w:t>, 70, pp. 374–81.</w:t>
      </w:r>
    </w:p>
    <w:p w:rsidR="00402B60" w:rsidRPr="00355EF3" w:rsidRDefault="00402B60" w:rsidP="00402B60">
      <w:pPr>
        <w:ind w:left="706" w:hanging="706"/>
        <w:rPr>
          <w:rFonts w:cs="Times New Roman"/>
          <w:szCs w:val="22"/>
        </w:rPr>
      </w:pPr>
      <w:r w:rsidRPr="00355EF3">
        <w:rPr>
          <w:rFonts w:cs="Times New Roman"/>
          <w:szCs w:val="22"/>
        </w:rPr>
        <w:t>Blau, D. M</w:t>
      </w:r>
      <w:r w:rsidR="00BC6A52" w:rsidRPr="00355EF3">
        <w:rPr>
          <w:rFonts w:cs="Times New Roman"/>
          <w:szCs w:val="22"/>
        </w:rPr>
        <w:t xml:space="preserve">. </w:t>
      </w:r>
      <w:r w:rsidRPr="00355EF3">
        <w:rPr>
          <w:rFonts w:cs="Times New Roman"/>
          <w:szCs w:val="22"/>
        </w:rPr>
        <w:t xml:space="preserve">and P. K. Robins (1989). “Fertility, Employment, and Child-Care Costs”, </w:t>
      </w:r>
      <w:r w:rsidRPr="00355EF3">
        <w:rPr>
          <w:rFonts w:cs="Times New Roman"/>
          <w:i/>
          <w:iCs/>
          <w:szCs w:val="22"/>
        </w:rPr>
        <w:t>Demography,</w:t>
      </w:r>
      <w:r w:rsidRPr="00355EF3">
        <w:rPr>
          <w:rFonts w:cs="Times New Roman"/>
          <w:szCs w:val="22"/>
        </w:rPr>
        <w:t xml:space="preserve"> 26(2), pp. 287-299. </w:t>
      </w:r>
    </w:p>
    <w:p w:rsidR="008F2188" w:rsidRPr="00355EF3" w:rsidRDefault="008F2188" w:rsidP="008F2188">
      <w:pPr>
        <w:ind w:left="706" w:hanging="706"/>
        <w:rPr>
          <w:rFonts w:cs="Times New Roman"/>
          <w:szCs w:val="22"/>
        </w:rPr>
      </w:pPr>
      <w:r w:rsidRPr="00355EF3">
        <w:rPr>
          <w:rFonts w:cs="Times New Roman"/>
          <w:szCs w:val="22"/>
        </w:rPr>
        <w:t>Blau, D</w:t>
      </w:r>
      <w:r w:rsidR="00402B60" w:rsidRPr="00355EF3">
        <w:rPr>
          <w:rFonts w:cs="Times New Roman"/>
          <w:szCs w:val="22"/>
        </w:rPr>
        <w:t>.</w:t>
      </w:r>
      <w:r w:rsidRPr="00355EF3">
        <w:rPr>
          <w:rFonts w:cs="Times New Roman"/>
          <w:szCs w:val="22"/>
        </w:rPr>
        <w:t xml:space="preserve"> M. and P</w:t>
      </w:r>
      <w:r w:rsidR="00402B60" w:rsidRPr="00355EF3">
        <w:rPr>
          <w:rFonts w:cs="Times New Roman"/>
          <w:szCs w:val="22"/>
        </w:rPr>
        <w:t>.</w:t>
      </w:r>
      <w:r w:rsidRPr="00355EF3">
        <w:rPr>
          <w:rFonts w:cs="Times New Roman"/>
          <w:szCs w:val="22"/>
        </w:rPr>
        <w:t xml:space="preserve"> K. Robins</w:t>
      </w:r>
      <w:r w:rsidR="00402B60" w:rsidRPr="00355EF3">
        <w:rPr>
          <w:rFonts w:cs="Times New Roman"/>
          <w:szCs w:val="22"/>
        </w:rPr>
        <w:t>,</w:t>
      </w:r>
      <w:r w:rsidRPr="00355EF3">
        <w:rPr>
          <w:rFonts w:cs="Times New Roman"/>
          <w:szCs w:val="22"/>
        </w:rPr>
        <w:t xml:space="preserve"> (1991). “Child Care Demand and Labor Supply of Young Mothers over Time”, </w:t>
      </w:r>
      <w:r w:rsidRPr="00355EF3">
        <w:rPr>
          <w:rFonts w:cs="Times New Roman"/>
          <w:i/>
          <w:iCs/>
          <w:szCs w:val="22"/>
        </w:rPr>
        <w:t>Demography</w:t>
      </w:r>
      <w:r w:rsidRPr="00355EF3">
        <w:rPr>
          <w:rFonts w:cs="Times New Roman"/>
          <w:szCs w:val="22"/>
        </w:rPr>
        <w:t>, 28(3), pp. 333-351.</w:t>
      </w:r>
    </w:p>
    <w:p w:rsidR="008F2188" w:rsidRPr="00355EF3" w:rsidRDefault="008F2188" w:rsidP="008F2188">
      <w:pPr>
        <w:ind w:left="706" w:hanging="706"/>
        <w:rPr>
          <w:rFonts w:cs="Times New Roman"/>
          <w:szCs w:val="22"/>
        </w:rPr>
      </w:pPr>
      <w:r w:rsidRPr="00355EF3">
        <w:rPr>
          <w:rFonts w:cs="Times New Roman"/>
          <w:szCs w:val="22"/>
        </w:rPr>
        <w:t>Blau, D. and E</w:t>
      </w:r>
      <w:r w:rsidR="00402B60" w:rsidRPr="00355EF3">
        <w:rPr>
          <w:rFonts w:cs="Times New Roman"/>
          <w:szCs w:val="22"/>
        </w:rPr>
        <w:t>.</w:t>
      </w:r>
      <w:r w:rsidRPr="00355EF3">
        <w:rPr>
          <w:rFonts w:cs="Times New Roman"/>
          <w:szCs w:val="22"/>
        </w:rPr>
        <w:t xml:space="preserve"> Tekin</w:t>
      </w:r>
      <w:r w:rsidR="00402B60" w:rsidRPr="00355EF3">
        <w:rPr>
          <w:rFonts w:cs="Times New Roman"/>
          <w:szCs w:val="22"/>
        </w:rPr>
        <w:t>,</w:t>
      </w:r>
      <w:r w:rsidRPr="00355EF3">
        <w:rPr>
          <w:rFonts w:cs="Times New Roman"/>
          <w:szCs w:val="22"/>
        </w:rPr>
        <w:t xml:space="preserve"> (2003). </w:t>
      </w:r>
      <w:r w:rsidR="00AA03B8" w:rsidRPr="00355EF3">
        <w:rPr>
          <w:rFonts w:cs="Times New Roman"/>
          <w:szCs w:val="22"/>
        </w:rPr>
        <w:t>“</w:t>
      </w:r>
      <w:r w:rsidRPr="00355EF3">
        <w:rPr>
          <w:rFonts w:cs="Times New Roman"/>
          <w:szCs w:val="22"/>
        </w:rPr>
        <w:t>The Determinants and Consequences of Child Care Subsidies for Single Mothers</w:t>
      </w:r>
      <w:r w:rsidR="00AA03B8" w:rsidRPr="00355EF3">
        <w:rPr>
          <w:rFonts w:cs="Times New Roman"/>
          <w:szCs w:val="22"/>
        </w:rPr>
        <w:t>”</w:t>
      </w:r>
      <w:r w:rsidRPr="00355EF3">
        <w:rPr>
          <w:rFonts w:cs="Times New Roman"/>
          <w:szCs w:val="22"/>
        </w:rPr>
        <w:t xml:space="preserve">, </w:t>
      </w:r>
      <w:r w:rsidRPr="00355EF3">
        <w:rPr>
          <w:rFonts w:cs="Times New Roman"/>
          <w:i/>
          <w:iCs/>
          <w:szCs w:val="22"/>
        </w:rPr>
        <w:t>NBER Working Papers</w:t>
      </w:r>
      <w:r w:rsidRPr="00355EF3">
        <w:rPr>
          <w:rFonts w:cs="Times New Roman"/>
          <w:szCs w:val="22"/>
        </w:rPr>
        <w:t>, 9665, National Bureau of Economic Research, pp. 719-741.</w:t>
      </w:r>
    </w:p>
    <w:p w:rsidR="009F66D1" w:rsidRPr="00355EF3" w:rsidRDefault="00402B60" w:rsidP="00D94DA1">
      <w:pPr>
        <w:ind w:left="706" w:hanging="706"/>
        <w:rPr>
          <w:rFonts w:cs="Times New Roman"/>
          <w:szCs w:val="22"/>
        </w:rPr>
      </w:pPr>
      <w:r w:rsidRPr="00355EF3">
        <w:rPr>
          <w:rFonts w:cs="Times New Roman"/>
          <w:szCs w:val="22"/>
        </w:rPr>
        <w:t>Borra Marcos, C</w:t>
      </w:r>
      <w:r w:rsidR="008F2188" w:rsidRPr="00355EF3">
        <w:rPr>
          <w:rFonts w:cs="Times New Roman"/>
          <w:szCs w:val="22"/>
        </w:rPr>
        <w:t>.</w:t>
      </w:r>
      <w:r w:rsidRPr="00355EF3">
        <w:rPr>
          <w:rFonts w:cs="Times New Roman"/>
          <w:szCs w:val="22"/>
        </w:rPr>
        <w:t>,</w:t>
      </w:r>
      <w:r w:rsidR="008F2188" w:rsidRPr="00355EF3">
        <w:rPr>
          <w:rFonts w:cs="Times New Roman"/>
          <w:szCs w:val="22"/>
        </w:rPr>
        <w:t xml:space="preserve"> </w:t>
      </w:r>
      <w:r w:rsidRPr="00355EF3">
        <w:rPr>
          <w:rFonts w:cs="Times New Roman"/>
          <w:szCs w:val="22"/>
        </w:rPr>
        <w:t>(</w:t>
      </w:r>
      <w:r w:rsidR="008F2188" w:rsidRPr="00355EF3">
        <w:rPr>
          <w:rFonts w:cs="Times New Roman"/>
          <w:szCs w:val="22"/>
        </w:rPr>
        <w:t>2006</w:t>
      </w:r>
      <w:r w:rsidRPr="00355EF3">
        <w:rPr>
          <w:rFonts w:cs="Times New Roman"/>
          <w:szCs w:val="22"/>
        </w:rPr>
        <w:t>)</w:t>
      </w:r>
      <w:r w:rsidR="008F2188" w:rsidRPr="00355EF3">
        <w:rPr>
          <w:rFonts w:cs="Times New Roman"/>
          <w:szCs w:val="22"/>
        </w:rPr>
        <w:t xml:space="preserve">. </w:t>
      </w:r>
      <w:r w:rsidR="00AA03B8" w:rsidRPr="00355EF3">
        <w:rPr>
          <w:rFonts w:cs="Times New Roman"/>
          <w:szCs w:val="22"/>
        </w:rPr>
        <w:t>“</w:t>
      </w:r>
      <w:r w:rsidR="008F2188" w:rsidRPr="00355EF3">
        <w:rPr>
          <w:rFonts w:cs="Times New Roman"/>
          <w:szCs w:val="22"/>
        </w:rPr>
        <w:t>Female labour participation and child care choices in Spain,</w:t>
      </w:r>
      <w:r w:rsidR="00AA03B8" w:rsidRPr="00355EF3">
        <w:rPr>
          <w:rFonts w:cs="Times New Roman"/>
          <w:szCs w:val="22"/>
        </w:rPr>
        <w:t>”</w:t>
      </w:r>
      <w:r w:rsidR="008F2188" w:rsidRPr="00355EF3">
        <w:rPr>
          <w:rFonts w:cs="Times New Roman"/>
          <w:szCs w:val="22"/>
        </w:rPr>
        <w:t xml:space="preserve"> </w:t>
      </w:r>
      <w:r w:rsidR="008F2188" w:rsidRPr="00355EF3">
        <w:rPr>
          <w:rFonts w:cs="Times New Roman"/>
          <w:i/>
          <w:iCs/>
          <w:szCs w:val="22"/>
        </w:rPr>
        <w:t>Economic Working Papers</w:t>
      </w:r>
      <w:r w:rsidR="008F2188" w:rsidRPr="00355EF3">
        <w:rPr>
          <w:rFonts w:cs="Times New Roman"/>
          <w:szCs w:val="22"/>
        </w:rPr>
        <w:t xml:space="preserve"> at Centro de Estudios andaluces, E2006/16, Centro de Estudios andaluces, pp. 1-24.</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 xml:space="preserve">Borman, G.D. and G. Hewes (2002). “The Long-term Effects and Cost-effectiveness of Success for All.” </w:t>
      </w:r>
      <w:r w:rsidRPr="00355EF3">
        <w:rPr>
          <w:rFonts w:cs="Times New Roman"/>
          <w:i/>
          <w:iCs/>
          <w:color w:val="000000"/>
          <w:szCs w:val="22"/>
          <w:lang w:eastAsia="en-CA"/>
        </w:rPr>
        <w:t>Educational Evaluation and Policy Analysis</w:t>
      </w:r>
      <w:r w:rsidRPr="00355EF3">
        <w:rPr>
          <w:rFonts w:cs="Times New Roman"/>
          <w:color w:val="000000"/>
          <w:szCs w:val="22"/>
          <w:lang w:eastAsia="en-CA"/>
        </w:rPr>
        <w:t>, 24, pp. 243-266.</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Bushnik, T. (2006). “Child Care in Canada.”</w:t>
      </w:r>
      <w:r w:rsidRPr="00355EF3">
        <w:rPr>
          <w:rFonts w:cs="Times New Roman"/>
          <w:i/>
          <w:iCs/>
          <w:color w:val="000000"/>
          <w:szCs w:val="22"/>
          <w:lang w:eastAsia="en-CA"/>
        </w:rPr>
        <w:t xml:space="preserve"> </w:t>
      </w:r>
      <w:r w:rsidRPr="00355EF3">
        <w:rPr>
          <w:rFonts w:cs="Times New Roman"/>
          <w:color w:val="000000"/>
          <w:szCs w:val="22"/>
          <w:lang w:eastAsia="en-CA"/>
        </w:rPr>
        <w:t>Children and Youth Research Paper Series. Ottawa, ON: Statistics Canada, Special Surveys Division.</w:t>
      </w:r>
    </w:p>
    <w:p w:rsidR="00D94DA1" w:rsidRPr="00355EF3" w:rsidRDefault="00D94DA1" w:rsidP="00D94DA1">
      <w:pPr>
        <w:ind w:left="709" w:hanging="709"/>
        <w:rPr>
          <w:rFonts w:cs="Times New Roman"/>
          <w:color w:val="000000"/>
          <w:szCs w:val="22"/>
          <w:lang w:eastAsia="en-CA"/>
        </w:rPr>
      </w:pPr>
      <w:r w:rsidRPr="00355EF3">
        <w:rPr>
          <w:rFonts w:cs="Times New Roman"/>
          <w:color w:val="000000"/>
          <w:szCs w:val="22"/>
          <w:lang w:eastAsia="en-CA"/>
        </w:rPr>
        <w:t xml:space="preserve">Campbell F., E. Pungello, S. Miller-Johnson, M. Burchinal, and C. Ramey (2001). “The development of cognitive and academic abilities: Growth curves from an early childhood experiment.” </w:t>
      </w:r>
      <w:r w:rsidRPr="00355EF3">
        <w:rPr>
          <w:rFonts w:cs="Times New Roman"/>
          <w:i/>
          <w:iCs/>
          <w:color w:val="000000"/>
          <w:szCs w:val="22"/>
          <w:lang w:eastAsia="en-CA"/>
        </w:rPr>
        <w:t>Developmental Psychology</w:t>
      </w:r>
      <w:r w:rsidRPr="00355EF3">
        <w:rPr>
          <w:rFonts w:cs="Times New Roman"/>
          <w:color w:val="000000"/>
          <w:szCs w:val="22"/>
          <w:lang w:eastAsia="en-CA"/>
        </w:rPr>
        <w:t>, 37(2), pp. 231-242.</w:t>
      </w:r>
    </w:p>
    <w:p w:rsidR="008F2188" w:rsidRPr="00355EF3" w:rsidRDefault="008F2188" w:rsidP="008F2188">
      <w:pPr>
        <w:ind w:left="706" w:hanging="706"/>
        <w:rPr>
          <w:rFonts w:cs="Times New Roman"/>
          <w:szCs w:val="22"/>
        </w:rPr>
      </w:pPr>
      <w:r w:rsidRPr="00355EF3">
        <w:rPr>
          <w:rFonts w:cs="Times New Roman"/>
          <w:szCs w:val="22"/>
        </w:rPr>
        <w:t>Chevalier, A</w:t>
      </w:r>
      <w:r w:rsidR="00625B71" w:rsidRPr="00355EF3">
        <w:rPr>
          <w:rFonts w:cs="Times New Roman"/>
          <w:szCs w:val="22"/>
        </w:rPr>
        <w:t>.</w:t>
      </w:r>
      <w:r w:rsidRPr="00355EF3">
        <w:rPr>
          <w:rFonts w:cs="Times New Roman"/>
          <w:szCs w:val="22"/>
        </w:rPr>
        <w:t>, C</w:t>
      </w:r>
      <w:r w:rsidR="00625B71" w:rsidRPr="00355EF3">
        <w:rPr>
          <w:rFonts w:cs="Times New Roman"/>
          <w:szCs w:val="22"/>
        </w:rPr>
        <w:t>.</w:t>
      </w:r>
      <w:r w:rsidRPr="00355EF3">
        <w:rPr>
          <w:rFonts w:cs="Times New Roman"/>
          <w:szCs w:val="22"/>
        </w:rPr>
        <w:t xml:space="preserve"> Finn, C</w:t>
      </w:r>
      <w:r w:rsidR="00625B71" w:rsidRPr="00355EF3">
        <w:rPr>
          <w:rFonts w:cs="Times New Roman"/>
          <w:szCs w:val="22"/>
        </w:rPr>
        <w:t>.</w:t>
      </w:r>
      <w:r w:rsidRPr="00355EF3">
        <w:rPr>
          <w:rFonts w:cs="Times New Roman"/>
          <w:szCs w:val="22"/>
        </w:rPr>
        <w:t xml:space="preserve"> Harmon and T</w:t>
      </w:r>
      <w:r w:rsidR="00625B71" w:rsidRPr="00355EF3">
        <w:rPr>
          <w:rFonts w:cs="Times New Roman"/>
          <w:szCs w:val="22"/>
        </w:rPr>
        <w:t>.</w:t>
      </w:r>
      <w:r w:rsidRPr="00355EF3">
        <w:rPr>
          <w:rFonts w:cs="Times New Roman"/>
          <w:szCs w:val="22"/>
        </w:rPr>
        <w:t xml:space="preserve"> Viitanen</w:t>
      </w:r>
      <w:r w:rsidR="00625B71" w:rsidRPr="00355EF3">
        <w:rPr>
          <w:rFonts w:cs="Times New Roman"/>
          <w:szCs w:val="22"/>
        </w:rPr>
        <w:t>,</w:t>
      </w:r>
      <w:r w:rsidRPr="00355EF3">
        <w:rPr>
          <w:rFonts w:cs="Times New Roman"/>
          <w:szCs w:val="22"/>
        </w:rPr>
        <w:t xml:space="preserve"> (2006). </w:t>
      </w:r>
      <w:r w:rsidR="00AA03B8" w:rsidRPr="00355EF3">
        <w:rPr>
          <w:rFonts w:cs="Times New Roman"/>
          <w:szCs w:val="22"/>
        </w:rPr>
        <w:t>“</w:t>
      </w:r>
      <w:r w:rsidRPr="00355EF3">
        <w:rPr>
          <w:rFonts w:cs="Times New Roman"/>
          <w:szCs w:val="22"/>
        </w:rPr>
        <w:t>The Economics of Early Childhood Care and Education”, Technical Research Paper for the National Economic and Social Forum.</w:t>
      </w:r>
    </w:p>
    <w:p w:rsidR="00D94DA1" w:rsidRPr="00355EF3" w:rsidRDefault="008F2188" w:rsidP="00D94DA1">
      <w:pPr>
        <w:ind w:left="706" w:hanging="706"/>
        <w:rPr>
          <w:rFonts w:cs="Times New Roman"/>
          <w:szCs w:val="22"/>
        </w:rPr>
      </w:pPr>
      <w:r w:rsidRPr="00355EF3">
        <w:rPr>
          <w:rFonts w:cs="Times New Roman"/>
          <w:szCs w:val="22"/>
        </w:rPr>
        <w:t>Chone, P</w:t>
      </w:r>
      <w:r w:rsidR="00625B71" w:rsidRPr="00355EF3">
        <w:rPr>
          <w:rFonts w:cs="Times New Roman"/>
          <w:szCs w:val="22"/>
        </w:rPr>
        <w:t>.</w:t>
      </w:r>
      <w:r w:rsidRPr="00355EF3">
        <w:rPr>
          <w:rFonts w:cs="Times New Roman"/>
          <w:szCs w:val="22"/>
        </w:rPr>
        <w:t xml:space="preserve"> and D</w:t>
      </w:r>
      <w:r w:rsidR="00625B71" w:rsidRPr="00355EF3">
        <w:rPr>
          <w:rFonts w:cs="Times New Roman"/>
          <w:szCs w:val="22"/>
        </w:rPr>
        <w:t>.</w:t>
      </w:r>
      <w:r w:rsidRPr="00355EF3">
        <w:rPr>
          <w:rFonts w:cs="Times New Roman"/>
          <w:szCs w:val="22"/>
        </w:rPr>
        <w:t xml:space="preserve"> le Blanc and I</w:t>
      </w:r>
      <w:r w:rsidR="00625B71" w:rsidRPr="00355EF3">
        <w:rPr>
          <w:rFonts w:cs="Times New Roman"/>
          <w:szCs w:val="22"/>
        </w:rPr>
        <w:t>.</w:t>
      </w:r>
      <w:r w:rsidRPr="00355EF3">
        <w:rPr>
          <w:rFonts w:cs="Times New Roman"/>
          <w:szCs w:val="22"/>
        </w:rPr>
        <w:t xml:space="preserve"> Robert-Bobee</w:t>
      </w:r>
      <w:r w:rsidR="00625B71" w:rsidRPr="00355EF3">
        <w:rPr>
          <w:rFonts w:cs="Times New Roman"/>
          <w:szCs w:val="22"/>
        </w:rPr>
        <w:t>,</w:t>
      </w:r>
      <w:r w:rsidRPr="00355EF3">
        <w:rPr>
          <w:rFonts w:cs="Times New Roman"/>
          <w:szCs w:val="22"/>
        </w:rPr>
        <w:t xml:space="preserve"> (2003). </w:t>
      </w:r>
      <w:r w:rsidR="00AA03B8" w:rsidRPr="00355EF3">
        <w:rPr>
          <w:rFonts w:cs="Times New Roman"/>
          <w:szCs w:val="22"/>
        </w:rPr>
        <w:t>“</w:t>
      </w:r>
      <w:r w:rsidRPr="00355EF3">
        <w:rPr>
          <w:rFonts w:cs="Times New Roman"/>
          <w:szCs w:val="22"/>
        </w:rPr>
        <w:t>Female Labor Supply and Child Care in France</w:t>
      </w:r>
      <w:r w:rsidR="00AA03B8" w:rsidRPr="00355EF3">
        <w:rPr>
          <w:rFonts w:cs="Times New Roman"/>
          <w:szCs w:val="22"/>
        </w:rPr>
        <w:t>”</w:t>
      </w:r>
      <w:r w:rsidRPr="00355EF3">
        <w:rPr>
          <w:rFonts w:cs="Times New Roman"/>
          <w:szCs w:val="22"/>
        </w:rPr>
        <w:t xml:space="preserve">, </w:t>
      </w:r>
      <w:r w:rsidRPr="00355EF3">
        <w:rPr>
          <w:rFonts w:cs="Times New Roman"/>
          <w:i/>
          <w:iCs/>
          <w:szCs w:val="22"/>
        </w:rPr>
        <w:t>CESifo Working Paper Series</w:t>
      </w:r>
      <w:r w:rsidRPr="00355EF3">
        <w:rPr>
          <w:rFonts w:cs="Times New Roman"/>
          <w:szCs w:val="22"/>
        </w:rPr>
        <w:t>, CESifo Working Paper CESifo GmbH, pp. 1-34.</w:t>
      </w:r>
    </w:p>
    <w:p w:rsidR="00D94DA1" w:rsidRPr="00355EF3" w:rsidRDefault="00D94DA1" w:rsidP="00D94DA1">
      <w:pPr>
        <w:ind w:left="706" w:hanging="706"/>
        <w:rPr>
          <w:rFonts w:cs="Times New Roman"/>
          <w:szCs w:val="22"/>
        </w:rPr>
      </w:pPr>
      <w:r w:rsidRPr="00355EF3">
        <w:rPr>
          <w:rFonts w:cs="Times New Roman"/>
          <w:color w:val="000000"/>
          <w:szCs w:val="22"/>
          <w:lang w:eastAsia="en-CA"/>
        </w:rPr>
        <w:t xml:space="preserve">Clarke-Stewart, K. A., and G. Fein (1983). “Early childhood programs.” In Haith, M.M. and J. J. Campos (Eds.), P. H. Mussen (Series Ed.), </w:t>
      </w:r>
      <w:r w:rsidRPr="00355EF3">
        <w:rPr>
          <w:rFonts w:cs="Times New Roman"/>
          <w:i/>
          <w:iCs/>
          <w:color w:val="000000"/>
          <w:szCs w:val="22"/>
          <w:lang w:eastAsia="en-CA"/>
        </w:rPr>
        <w:t>Handbook of child psychology,</w:t>
      </w:r>
      <w:r w:rsidRPr="00355EF3">
        <w:rPr>
          <w:rFonts w:cs="Times New Roman"/>
          <w:color w:val="000000"/>
          <w:szCs w:val="22"/>
          <w:lang w:eastAsia="en-CA"/>
        </w:rPr>
        <w:t xml:space="preserve"> 2, Infancy and developmental psychology, New York: Wiley, pp. 917-1000.</w:t>
      </w:r>
    </w:p>
    <w:p w:rsidR="008F2188" w:rsidRPr="00355EF3" w:rsidRDefault="008F2188" w:rsidP="008F2188">
      <w:pPr>
        <w:ind w:left="706" w:hanging="706"/>
        <w:rPr>
          <w:rFonts w:cs="Times New Roman"/>
          <w:szCs w:val="22"/>
        </w:rPr>
      </w:pPr>
      <w:r w:rsidRPr="00355EF3">
        <w:rPr>
          <w:rFonts w:cs="Times New Roman"/>
          <w:szCs w:val="22"/>
        </w:rPr>
        <w:t>Cleveland, G</w:t>
      </w:r>
      <w:r w:rsidR="00625B71" w:rsidRPr="00355EF3">
        <w:rPr>
          <w:rFonts w:cs="Times New Roman"/>
          <w:szCs w:val="22"/>
        </w:rPr>
        <w:t>.,</w:t>
      </w:r>
      <w:r w:rsidRPr="00355EF3">
        <w:rPr>
          <w:rFonts w:cs="Times New Roman"/>
          <w:szCs w:val="22"/>
        </w:rPr>
        <w:t xml:space="preserve"> M</w:t>
      </w:r>
      <w:r w:rsidR="00625B71" w:rsidRPr="00355EF3">
        <w:rPr>
          <w:rFonts w:cs="Times New Roman"/>
          <w:szCs w:val="22"/>
        </w:rPr>
        <w:t>.</w:t>
      </w:r>
      <w:r w:rsidRPr="00355EF3">
        <w:rPr>
          <w:rFonts w:cs="Times New Roman"/>
          <w:szCs w:val="22"/>
        </w:rPr>
        <w:t xml:space="preserve"> Gunderson and D</w:t>
      </w:r>
      <w:r w:rsidR="00625B71" w:rsidRPr="00355EF3">
        <w:rPr>
          <w:rFonts w:cs="Times New Roman"/>
          <w:szCs w:val="22"/>
        </w:rPr>
        <w:t>.</w:t>
      </w:r>
      <w:r w:rsidRPr="00355EF3">
        <w:rPr>
          <w:rFonts w:cs="Times New Roman"/>
          <w:szCs w:val="22"/>
        </w:rPr>
        <w:t xml:space="preserve"> Hyatt</w:t>
      </w:r>
      <w:r w:rsidR="00625B71" w:rsidRPr="00355EF3">
        <w:rPr>
          <w:rFonts w:cs="Times New Roman"/>
          <w:szCs w:val="22"/>
        </w:rPr>
        <w:t>,</w:t>
      </w:r>
      <w:r w:rsidRPr="00355EF3">
        <w:rPr>
          <w:rFonts w:cs="Times New Roman"/>
          <w:szCs w:val="22"/>
        </w:rPr>
        <w:t xml:space="preserve"> (1996). </w:t>
      </w:r>
      <w:r w:rsidR="00AA03B8" w:rsidRPr="00355EF3">
        <w:rPr>
          <w:rFonts w:cs="Times New Roman"/>
          <w:szCs w:val="22"/>
        </w:rPr>
        <w:t>“</w:t>
      </w:r>
      <w:r w:rsidRPr="00355EF3">
        <w:rPr>
          <w:rFonts w:cs="Times New Roman"/>
          <w:szCs w:val="22"/>
        </w:rPr>
        <w:t>Child Care Costs and the Employment Decision of Women: Canadian Evidence</w:t>
      </w:r>
      <w:r w:rsidR="00AA03B8" w:rsidRPr="00355EF3">
        <w:rPr>
          <w:rFonts w:cs="Times New Roman"/>
          <w:szCs w:val="22"/>
        </w:rPr>
        <w:t>”</w:t>
      </w:r>
      <w:r w:rsidRPr="00355EF3">
        <w:rPr>
          <w:rFonts w:cs="Times New Roman"/>
          <w:szCs w:val="22"/>
        </w:rPr>
        <w:t xml:space="preserve">, </w:t>
      </w:r>
      <w:r w:rsidRPr="00355EF3">
        <w:rPr>
          <w:rFonts w:cs="Times New Roman"/>
          <w:i/>
          <w:iCs/>
          <w:szCs w:val="22"/>
        </w:rPr>
        <w:t>Canadian Journal of Economics</w:t>
      </w:r>
      <w:r w:rsidRPr="00355EF3">
        <w:rPr>
          <w:rFonts w:cs="Times New Roman"/>
          <w:szCs w:val="22"/>
        </w:rPr>
        <w:t xml:space="preserve">, 29(1), pp. 132-51. </w:t>
      </w:r>
    </w:p>
    <w:p w:rsidR="008F2188" w:rsidRPr="00355EF3" w:rsidRDefault="008F2188" w:rsidP="008F2188">
      <w:pPr>
        <w:ind w:left="706" w:hanging="706"/>
        <w:rPr>
          <w:rFonts w:cs="Times New Roman"/>
          <w:szCs w:val="22"/>
        </w:rPr>
      </w:pPr>
      <w:r w:rsidRPr="00355EF3">
        <w:rPr>
          <w:rFonts w:cs="Times New Roman"/>
          <w:szCs w:val="22"/>
        </w:rPr>
        <w:t>Cleveland, G</w:t>
      </w:r>
      <w:r w:rsidR="005D15A8" w:rsidRPr="00355EF3">
        <w:rPr>
          <w:rFonts w:cs="Times New Roman"/>
          <w:szCs w:val="22"/>
        </w:rPr>
        <w:t>.</w:t>
      </w:r>
      <w:r w:rsidRPr="00355EF3">
        <w:rPr>
          <w:rFonts w:cs="Times New Roman"/>
          <w:szCs w:val="22"/>
        </w:rPr>
        <w:t>, M</w:t>
      </w:r>
      <w:r w:rsidR="005D15A8" w:rsidRPr="00355EF3">
        <w:rPr>
          <w:rFonts w:cs="Times New Roman"/>
          <w:szCs w:val="22"/>
        </w:rPr>
        <w:t>.</w:t>
      </w:r>
      <w:r w:rsidRPr="00355EF3">
        <w:rPr>
          <w:rFonts w:cs="Times New Roman"/>
          <w:szCs w:val="22"/>
        </w:rPr>
        <w:t xml:space="preserve"> Gunderson, D</w:t>
      </w:r>
      <w:r w:rsidR="005D15A8" w:rsidRPr="00355EF3">
        <w:rPr>
          <w:rFonts w:cs="Times New Roman"/>
          <w:szCs w:val="22"/>
        </w:rPr>
        <w:t>.</w:t>
      </w:r>
      <w:r w:rsidRPr="00355EF3">
        <w:rPr>
          <w:rFonts w:cs="Times New Roman"/>
          <w:szCs w:val="22"/>
        </w:rPr>
        <w:t xml:space="preserve"> Hyatt and M</w:t>
      </w:r>
      <w:r w:rsidR="005D15A8" w:rsidRPr="00355EF3">
        <w:rPr>
          <w:rFonts w:cs="Times New Roman"/>
          <w:szCs w:val="22"/>
        </w:rPr>
        <w:t>.</w:t>
      </w:r>
      <w:r w:rsidRPr="00355EF3">
        <w:rPr>
          <w:rFonts w:cs="Times New Roman"/>
          <w:szCs w:val="22"/>
        </w:rPr>
        <w:t xml:space="preserve"> Krashinsky (2000). </w:t>
      </w:r>
      <w:r w:rsidR="00AA03B8" w:rsidRPr="00355EF3">
        <w:rPr>
          <w:rFonts w:cs="Times New Roman"/>
          <w:szCs w:val="22"/>
        </w:rPr>
        <w:t>“</w:t>
      </w:r>
      <w:r w:rsidRPr="00355EF3">
        <w:rPr>
          <w:rFonts w:cs="Times New Roman"/>
          <w:szCs w:val="22"/>
        </w:rPr>
        <w:t>Simulating the Effects of Child Care Policy In Canada</w:t>
      </w:r>
      <w:r w:rsidR="00AA03B8" w:rsidRPr="00355EF3">
        <w:rPr>
          <w:rFonts w:cs="Times New Roman"/>
          <w:szCs w:val="22"/>
        </w:rPr>
        <w:t>”</w:t>
      </w:r>
      <w:r w:rsidRPr="00355EF3">
        <w:rPr>
          <w:rFonts w:cs="Times New Roman"/>
          <w:szCs w:val="22"/>
        </w:rPr>
        <w:t>, pp. 1-28.</w:t>
      </w:r>
    </w:p>
    <w:p w:rsidR="008F2188" w:rsidRPr="00355EF3" w:rsidRDefault="008F2188" w:rsidP="008F2188">
      <w:pPr>
        <w:ind w:left="706" w:hanging="706"/>
        <w:rPr>
          <w:rFonts w:cs="Times New Roman"/>
          <w:szCs w:val="22"/>
        </w:rPr>
      </w:pPr>
      <w:r w:rsidRPr="00355EF3">
        <w:rPr>
          <w:rFonts w:cs="Times New Roman"/>
          <w:szCs w:val="22"/>
        </w:rPr>
        <w:t>Cleveland, G. and M. Krashinsky (1998). “The Benefits and Costs of Good Child Care: the Economic Rationale for Public Investment in Young Children”, University of Toronto Centre for Urban and Community Studies, Child care Resource and Research Unit, Toronto.</w:t>
      </w:r>
    </w:p>
    <w:p w:rsidR="00D94DA1" w:rsidRPr="00355EF3" w:rsidRDefault="008F2188" w:rsidP="00D94DA1">
      <w:pPr>
        <w:ind w:left="706" w:hanging="706"/>
        <w:rPr>
          <w:rFonts w:cs="Times New Roman"/>
          <w:szCs w:val="22"/>
        </w:rPr>
      </w:pPr>
      <w:r w:rsidRPr="00355EF3">
        <w:rPr>
          <w:rFonts w:cs="Times New Roman"/>
          <w:szCs w:val="22"/>
        </w:rPr>
        <w:lastRenderedPageBreak/>
        <w:t>Connelly, R.</w:t>
      </w:r>
      <w:r w:rsidR="00204E4C" w:rsidRPr="00355EF3">
        <w:rPr>
          <w:rFonts w:cs="Times New Roman"/>
          <w:szCs w:val="22"/>
        </w:rPr>
        <w:t>,</w:t>
      </w:r>
      <w:r w:rsidRPr="00355EF3">
        <w:rPr>
          <w:rFonts w:cs="Times New Roman"/>
          <w:szCs w:val="22"/>
        </w:rPr>
        <w:t xml:space="preserve"> (1992). “The Effect of Childcare Costs on Married Women’s Labor Force Participation”, </w:t>
      </w:r>
      <w:r w:rsidRPr="00355EF3">
        <w:rPr>
          <w:rFonts w:cs="Times New Roman"/>
          <w:i/>
          <w:iCs/>
          <w:szCs w:val="22"/>
        </w:rPr>
        <w:t>Review of Economics and Statistics</w:t>
      </w:r>
      <w:r w:rsidRPr="00355EF3">
        <w:rPr>
          <w:rFonts w:cs="Times New Roman"/>
          <w:szCs w:val="22"/>
        </w:rPr>
        <w:t>, 74, pp. 83–90.</w:t>
      </w:r>
    </w:p>
    <w:p w:rsidR="00D94DA1" w:rsidRPr="00355EF3" w:rsidRDefault="00D94DA1" w:rsidP="00D94DA1">
      <w:pPr>
        <w:ind w:left="706" w:hanging="706"/>
        <w:rPr>
          <w:rFonts w:cs="Times New Roman"/>
          <w:szCs w:val="22"/>
        </w:rPr>
      </w:pPr>
      <w:r w:rsidRPr="00355EF3">
        <w:rPr>
          <w:rFonts w:cs="Times New Roman"/>
          <w:color w:val="000000"/>
          <w:szCs w:val="22"/>
          <w:lang w:eastAsia="en-CA"/>
        </w:rPr>
        <w:t xml:space="preserve">Currie, J. and T. Duncan (1995). “Does Head Start Make a Difference?” </w:t>
      </w:r>
      <w:r w:rsidRPr="00355EF3">
        <w:rPr>
          <w:rFonts w:cs="Times New Roman"/>
          <w:i/>
          <w:iCs/>
          <w:color w:val="000000"/>
          <w:szCs w:val="22"/>
          <w:lang w:eastAsia="en-CA"/>
        </w:rPr>
        <w:t>American Economic Review</w:t>
      </w:r>
      <w:r w:rsidRPr="00355EF3">
        <w:rPr>
          <w:rFonts w:cs="Times New Roman"/>
          <w:color w:val="000000"/>
          <w:szCs w:val="22"/>
          <w:lang w:eastAsia="en-CA"/>
        </w:rPr>
        <w:t>, 85(3), pp. 341-364.</w:t>
      </w:r>
    </w:p>
    <w:p w:rsidR="00162509" w:rsidRPr="00355EF3" w:rsidRDefault="00162509" w:rsidP="00162509">
      <w:pPr>
        <w:ind w:left="706" w:hanging="706"/>
        <w:rPr>
          <w:rFonts w:cs="Times New Roman"/>
          <w:szCs w:val="22"/>
          <w:lang w:eastAsia="en-CA"/>
        </w:rPr>
      </w:pPr>
      <w:r w:rsidRPr="00355EF3">
        <w:rPr>
          <w:rFonts w:cs="Times New Roman"/>
          <w:szCs w:val="22"/>
          <w:lang w:eastAsia="en-CA"/>
        </w:rPr>
        <w:t xml:space="preserve">Cross, P. and Z. Ghanem, (2003). "Import Intensity of Provincial Exports",  </w:t>
      </w:r>
      <w:r w:rsidRPr="00355EF3">
        <w:rPr>
          <w:rFonts w:cs="Times New Roman"/>
          <w:i/>
          <w:szCs w:val="22"/>
          <w:lang w:val="en-US"/>
        </w:rPr>
        <w:t xml:space="preserve">Canadian </w:t>
      </w:r>
      <w:r w:rsidRPr="00355EF3">
        <w:rPr>
          <w:rFonts w:cs="Times New Roman"/>
          <w:i/>
          <w:szCs w:val="22"/>
        </w:rPr>
        <w:t>Economic Observer</w:t>
      </w:r>
      <w:r w:rsidRPr="00355EF3">
        <w:rPr>
          <w:rFonts w:cs="Times New Roman"/>
          <w:szCs w:val="22"/>
        </w:rPr>
        <w:t xml:space="preserve">, June 2003, </w:t>
      </w:r>
      <w:r w:rsidRPr="00355EF3">
        <w:rPr>
          <w:rFonts w:cs="Times New Roman"/>
          <w:szCs w:val="22"/>
          <w:lang w:eastAsia="en-CA"/>
        </w:rPr>
        <w:t>Catalogue no. 11-010-XIB, Statistics Canada, Ottawa. pp. 3.1-3.6.</w:t>
      </w:r>
    </w:p>
    <w:p w:rsidR="00162509" w:rsidRPr="00355EF3" w:rsidRDefault="00162509" w:rsidP="00162509">
      <w:pPr>
        <w:ind w:left="706" w:hanging="706"/>
        <w:rPr>
          <w:rFonts w:cs="Times New Roman"/>
          <w:szCs w:val="22"/>
        </w:rPr>
      </w:pPr>
      <w:r w:rsidRPr="00355EF3">
        <w:rPr>
          <w:rFonts w:cs="Times New Roman"/>
          <w:szCs w:val="22"/>
        </w:rPr>
        <w:t xml:space="preserve">Cross, P. and Z. Ghanem (2006). </w:t>
      </w:r>
      <w:r w:rsidRPr="00355EF3">
        <w:rPr>
          <w:rFonts w:cs="Times New Roman"/>
          <w:szCs w:val="22"/>
          <w:lang w:val="en-US"/>
        </w:rPr>
        <w:t xml:space="preserve">“Multipliers and Outsourcing: How industries interact with each other and affect GDP.” </w:t>
      </w:r>
      <w:r w:rsidRPr="00355EF3">
        <w:rPr>
          <w:rFonts w:cs="Times New Roman"/>
          <w:i/>
          <w:szCs w:val="22"/>
          <w:lang w:val="en-US"/>
        </w:rPr>
        <w:t xml:space="preserve">Canadian </w:t>
      </w:r>
      <w:r w:rsidRPr="00355EF3">
        <w:rPr>
          <w:rFonts w:cs="Times New Roman"/>
          <w:i/>
          <w:szCs w:val="22"/>
        </w:rPr>
        <w:t>Economic Observer</w:t>
      </w:r>
      <w:r w:rsidRPr="00355EF3">
        <w:rPr>
          <w:rFonts w:cs="Times New Roman"/>
          <w:szCs w:val="22"/>
        </w:rPr>
        <w:t>, January 2006, Statistics Canada – Catalogue no. 11-010.</w:t>
      </w:r>
    </w:p>
    <w:p w:rsidR="008F2188" w:rsidRPr="00355EF3" w:rsidRDefault="008F2188" w:rsidP="008F2188">
      <w:pPr>
        <w:ind w:left="706" w:hanging="706"/>
        <w:rPr>
          <w:rFonts w:cs="Times New Roman"/>
          <w:szCs w:val="22"/>
        </w:rPr>
      </w:pPr>
      <w:r w:rsidRPr="00355EF3">
        <w:rPr>
          <w:rFonts w:cs="Times New Roman"/>
          <w:szCs w:val="22"/>
        </w:rPr>
        <w:t>Del Boca, D</w:t>
      </w:r>
      <w:r w:rsidR="00BB30D1" w:rsidRPr="00355EF3">
        <w:rPr>
          <w:rFonts w:cs="Times New Roman"/>
          <w:szCs w:val="22"/>
        </w:rPr>
        <w:t>.</w:t>
      </w:r>
      <w:r w:rsidRPr="00355EF3">
        <w:rPr>
          <w:rFonts w:cs="Times New Roman"/>
          <w:szCs w:val="22"/>
        </w:rPr>
        <w:t xml:space="preserve"> and D</w:t>
      </w:r>
      <w:r w:rsidR="005D15A8" w:rsidRPr="00355EF3">
        <w:rPr>
          <w:rFonts w:cs="Times New Roman"/>
          <w:szCs w:val="22"/>
        </w:rPr>
        <w:t>.</w:t>
      </w:r>
      <w:r w:rsidRPr="00355EF3">
        <w:rPr>
          <w:rFonts w:cs="Times New Roman"/>
          <w:szCs w:val="22"/>
        </w:rPr>
        <w:t xml:space="preserve"> Vuri, </w:t>
      </w:r>
      <w:r w:rsidR="005D15A8" w:rsidRPr="00355EF3">
        <w:rPr>
          <w:rFonts w:cs="Times New Roman"/>
          <w:szCs w:val="22"/>
        </w:rPr>
        <w:t>(</w:t>
      </w:r>
      <w:r w:rsidRPr="00355EF3">
        <w:rPr>
          <w:rFonts w:cs="Times New Roman"/>
          <w:szCs w:val="22"/>
        </w:rPr>
        <w:t>2005</w:t>
      </w:r>
      <w:r w:rsidR="005D15A8" w:rsidRPr="00355EF3">
        <w:rPr>
          <w:rFonts w:cs="Times New Roman"/>
          <w:szCs w:val="22"/>
        </w:rPr>
        <w:t>)</w:t>
      </w:r>
      <w:r w:rsidRPr="00355EF3">
        <w:rPr>
          <w:rFonts w:cs="Times New Roman"/>
          <w:szCs w:val="22"/>
        </w:rPr>
        <w:t xml:space="preserve">. </w:t>
      </w:r>
      <w:r w:rsidR="00204E4C" w:rsidRPr="00355EF3">
        <w:rPr>
          <w:rFonts w:cs="Times New Roman"/>
          <w:szCs w:val="22"/>
        </w:rPr>
        <w:t>“</w:t>
      </w:r>
      <w:r w:rsidRPr="00355EF3">
        <w:rPr>
          <w:rFonts w:cs="Times New Roman"/>
          <w:szCs w:val="22"/>
        </w:rPr>
        <w:t xml:space="preserve">Labor Supply and Child Care Costs: the Effect of Rationing”, </w:t>
      </w:r>
      <w:r w:rsidRPr="00355EF3">
        <w:rPr>
          <w:rFonts w:cs="Times New Roman"/>
          <w:i/>
          <w:iCs/>
          <w:szCs w:val="22"/>
        </w:rPr>
        <w:t>Labor and Demography</w:t>
      </w:r>
      <w:r w:rsidRPr="00355EF3">
        <w:rPr>
          <w:rFonts w:cs="Times New Roman"/>
          <w:szCs w:val="22"/>
        </w:rPr>
        <w:t>, 0510016, EconWPA, pp. 1-41.</w:t>
      </w:r>
    </w:p>
    <w:p w:rsidR="008F2188" w:rsidRPr="00355EF3" w:rsidRDefault="008F2188" w:rsidP="008F2188">
      <w:pPr>
        <w:ind w:left="706" w:hanging="706"/>
        <w:rPr>
          <w:rFonts w:cs="Times New Roman"/>
          <w:szCs w:val="22"/>
        </w:rPr>
      </w:pPr>
      <w:r w:rsidRPr="00355EF3">
        <w:rPr>
          <w:rFonts w:cs="Times New Roman"/>
          <w:szCs w:val="22"/>
        </w:rPr>
        <w:t>Del Boca, D</w:t>
      </w:r>
      <w:r w:rsidR="00BC6A52" w:rsidRPr="00355EF3">
        <w:rPr>
          <w:rFonts w:cs="Times New Roman"/>
          <w:szCs w:val="22"/>
        </w:rPr>
        <w:t xml:space="preserve">. </w:t>
      </w:r>
      <w:r w:rsidRPr="00355EF3">
        <w:rPr>
          <w:rFonts w:cs="Times New Roman"/>
          <w:szCs w:val="22"/>
        </w:rPr>
        <w:t>and D</w:t>
      </w:r>
      <w:r w:rsidR="00204E4C" w:rsidRPr="00355EF3">
        <w:rPr>
          <w:rFonts w:cs="Times New Roman"/>
          <w:szCs w:val="22"/>
        </w:rPr>
        <w:t>.</w:t>
      </w:r>
      <w:r w:rsidRPr="00355EF3">
        <w:rPr>
          <w:rFonts w:cs="Times New Roman"/>
          <w:szCs w:val="22"/>
        </w:rPr>
        <w:t xml:space="preserve"> Vuri</w:t>
      </w:r>
      <w:r w:rsidR="00204E4C" w:rsidRPr="00355EF3">
        <w:rPr>
          <w:rFonts w:cs="Times New Roman"/>
          <w:szCs w:val="22"/>
        </w:rPr>
        <w:t>,</w:t>
      </w:r>
      <w:r w:rsidRPr="00355EF3">
        <w:rPr>
          <w:rFonts w:cs="Times New Roman"/>
          <w:szCs w:val="22"/>
        </w:rPr>
        <w:t xml:space="preserve"> (2007). </w:t>
      </w:r>
      <w:r w:rsidR="00204E4C" w:rsidRPr="00355EF3">
        <w:rPr>
          <w:rFonts w:cs="Times New Roman"/>
          <w:szCs w:val="22"/>
        </w:rPr>
        <w:t>“</w:t>
      </w:r>
      <w:r w:rsidRPr="00355EF3">
        <w:rPr>
          <w:rFonts w:cs="Times New Roman"/>
          <w:szCs w:val="22"/>
        </w:rPr>
        <w:t xml:space="preserve">The mismatch between employment and child care in Italy: The impact of rationing", </w:t>
      </w:r>
      <w:r w:rsidRPr="00355EF3">
        <w:rPr>
          <w:rFonts w:cs="Times New Roman"/>
          <w:i/>
          <w:iCs/>
          <w:szCs w:val="22"/>
        </w:rPr>
        <w:t>Journal of Population Economics</w:t>
      </w:r>
      <w:r w:rsidRPr="00355EF3">
        <w:rPr>
          <w:rFonts w:cs="Times New Roman"/>
          <w:szCs w:val="22"/>
        </w:rPr>
        <w:t>, 20(4),  pp. 805-832.</w:t>
      </w:r>
    </w:p>
    <w:p w:rsidR="00B65340" w:rsidRPr="00355EF3" w:rsidRDefault="008F2188" w:rsidP="008F2188">
      <w:pPr>
        <w:ind w:left="706" w:hanging="706"/>
        <w:rPr>
          <w:rFonts w:cs="Times New Roman"/>
          <w:szCs w:val="22"/>
        </w:rPr>
      </w:pPr>
      <w:r w:rsidRPr="00355EF3">
        <w:rPr>
          <w:rFonts w:cs="Times New Roman"/>
          <w:szCs w:val="22"/>
        </w:rPr>
        <w:t>Duncan, A</w:t>
      </w:r>
      <w:r w:rsidR="00BB30D1" w:rsidRPr="00355EF3">
        <w:rPr>
          <w:rFonts w:cs="Times New Roman"/>
          <w:szCs w:val="22"/>
        </w:rPr>
        <w:t>.</w:t>
      </w:r>
      <w:r w:rsidRPr="00355EF3">
        <w:rPr>
          <w:rFonts w:cs="Times New Roman"/>
          <w:szCs w:val="22"/>
        </w:rPr>
        <w:t xml:space="preserve"> and G</w:t>
      </w:r>
      <w:r w:rsidR="00BB30D1" w:rsidRPr="00355EF3">
        <w:rPr>
          <w:rFonts w:cs="Times New Roman"/>
          <w:szCs w:val="22"/>
        </w:rPr>
        <w:t>.</w:t>
      </w:r>
      <w:r w:rsidRPr="00355EF3">
        <w:rPr>
          <w:rFonts w:cs="Times New Roman"/>
          <w:szCs w:val="22"/>
        </w:rPr>
        <w:t xml:space="preserve"> Paul and J</w:t>
      </w:r>
      <w:r w:rsidR="00BB30D1" w:rsidRPr="00355EF3">
        <w:rPr>
          <w:rFonts w:cs="Times New Roman"/>
          <w:szCs w:val="22"/>
        </w:rPr>
        <w:t>.</w:t>
      </w:r>
      <w:r w:rsidRPr="00355EF3">
        <w:rPr>
          <w:rFonts w:cs="Times New Roman"/>
          <w:szCs w:val="22"/>
        </w:rPr>
        <w:t xml:space="preserve"> Taylor (2001). </w:t>
      </w:r>
      <w:r w:rsidR="00254985" w:rsidRPr="00355EF3">
        <w:rPr>
          <w:rFonts w:cs="Times New Roman"/>
          <w:szCs w:val="22"/>
        </w:rPr>
        <w:t>“</w:t>
      </w:r>
      <w:r w:rsidRPr="00355EF3">
        <w:rPr>
          <w:rFonts w:cs="Times New Roman"/>
          <w:szCs w:val="22"/>
        </w:rPr>
        <w:t>Mothers' employment and the use of childcare in the UK</w:t>
      </w:r>
      <w:r w:rsidR="00254985" w:rsidRPr="00355EF3">
        <w:rPr>
          <w:rFonts w:cs="Times New Roman"/>
          <w:szCs w:val="22"/>
        </w:rPr>
        <w:t>”</w:t>
      </w:r>
      <w:r w:rsidRPr="00355EF3">
        <w:rPr>
          <w:rFonts w:cs="Times New Roman"/>
          <w:szCs w:val="22"/>
        </w:rPr>
        <w:t xml:space="preserve">, </w:t>
      </w:r>
      <w:r w:rsidRPr="00355EF3">
        <w:rPr>
          <w:rFonts w:cs="Times New Roman"/>
          <w:i/>
          <w:iCs/>
          <w:szCs w:val="22"/>
        </w:rPr>
        <w:t>IFS Working Papers</w:t>
      </w:r>
      <w:r w:rsidRPr="00355EF3">
        <w:rPr>
          <w:rFonts w:cs="Times New Roman"/>
          <w:szCs w:val="22"/>
        </w:rPr>
        <w:t>, W01/23, pp. 1-49.</w:t>
      </w:r>
    </w:p>
    <w:p w:rsidR="00B65340" w:rsidRPr="00355EF3" w:rsidRDefault="00B65340" w:rsidP="008F2188">
      <w:pPr>
        <w:ind w:left="706" w:hanging="706"/>
        <w:rPr>
          <w:rFonts w:cs="Times New Roman"/>
          <w:szCs w:val="22"/>
        </w:rPr>
      </w:pPr>
      <w:r w:rsidRPr="00355EF3">
        <w:rPr>
          <w:rFonts w:cs="Times New Roman"/>
          <w:color w:val="000000"/>
          <w:szCs w:val="22"/>
        </w:rPr>
        <w:t xml:space="preserve">Dynan, K., J. Skinner and S. Zeldes, (2004). “Do the rich save more?” </w:t>
      </w:r>
      <w:r w:rsidRPr="00355EF3">
        <w:rPr>
          <w:rFonts w:cs="Times New Roman"/>
          <w:i/>
          <w:iCs/>
          <w:color w:val="000000"/>
          <w:szCs w:val="22"/>
        </w:rPr>
        <w:t>Journal of Political Economy</w:t>
      </w:r>
      <w:r w:rsidRPr="00355EF3">
        <w:rPr>
          <w:rFonts w:cs="Times New Roman"/>
          <w:color w:val="000000"/>
          <w:szCs w:val="22"/>
        </w:rPr>
        <w:t>. 112(2). pp. 397-444.</w:t>
      </w:r>
    </w:p>
    <w:p w:rsidR="008F2188" w:rsidRPr="00355EF3" w:rsidRDefault="008F2188" w:rsidP="008F2188">
      <w:pPr>
        <w:ind w:left="706" w:hanging="706"/>
        <w:rPr>
          <w:rFonts w:cs="Times New Roman"/>
          <w:szCs w:val="22"/>
        </w:rPr>
      </w:pPr>
      <w:r w:rsidRPr="00355EF3">
        <w:rPr>
          <w:rFonts w:cs="Times New Roman"/>
          <w:szCs w:val="22"/>
        </w:rPr>
        <w:t>Ermisch, J</w:t>
      </w:r>
      <w:r w:rsidR="00BB30D1" w:rsidRPr="00355EF3">
        <w:rPr>
          <w:rFonts w:cs="Times New Roman"/>
          <w:szCs w:val="22"/>
        </w:rPr>
        <w:t>.</w:t>
      </w:r>
      <w:r w:rsidRPr="00355EF3">
        <w:rPr>
          <w:rFonts w:cs="Times New Roman"/>
          <w:szCs w:val="22"/>
        </w:rPr>
        <w:t xml:space="preserve"> F</w:t>
      </w:r>
      <w:r w:rsidR="00BB30D1" w:rsidRPr="00355EF3">
        <w:rPr>
          <w:rFonts w:cs="Times New Roman"/>
          <w:szCs w:val="22"/>
        </w:rPr>
        <w:t>.,</w:t>
      </w:r>
      <w:r w:rsidRPr="00355EF3">
        <w:rPr>
          <w:rFonts w:cs="Times New Roman"/>
          <w:szCs w:val="22"/>
        </w:rPr>
        <w:t xml:space="preserve"> (1988). </w:t>
      </w:r>
      <w:r w:rsidR="00254985" w:rsidRPr="00355EF3">
        <w:rPr>
          <w:rFonts w:cs="Times New Roman"/>
          <w:szCs w:val="22"/>
        </w:rPr>
        <w:t>“</w:t>
      </w:r>
      <w:r w:rsidRPr="00355EF3">
        <w:rPr>
          <w:rFonts w:cs="Times New Roman"/>
          <w:szCs w:val="22"/>
        </w:rPr>
        <w:t>Purchased Child Care, Optimal Family Size and Mother's Employment</w:t>
      </w:r>
      <w:r w:rsidR="00254985" w:rsidRPr="00355EF3">
        <w:rPr>
          <w:rFonts w:cs="Times New Roman"/>
          <w:szCs w:val="22"/>
        </w:rPr>
        <w:t>”</w:t>
      </w:r>
      <w:r w:rsidRPr="00355EF3">
        <w:rPr>
          <w:rFonts w:cs="Times New Roman"/>
          <w:szCs w:val="22"/>
        </w:rPr>
        <w:t xml:space="preserve">, </w:t>
      </w:r>
      <w:r w:rsidRPr="00355EF3">
        <w:rPr>
          <w:rFonts w:cs="Times New Roman"/>
          <w:i/>
          <w:iCs/>
          <w:szCs w:val="22"/>
        </w:rPr>
        <w:t>CEPR Discussion Papers</w:t>
      </w:r>
      <w:r w:rsidRPr="00355EF3">
        <w:rPr>
          <w:rFonts w:cs="Times New Roman"/>
          <w:szCs w:val="22"/>
        </w:rPr>
        <w:t>, 238, pp. 79-102.</w:t>
      </w:r>
    </w:p>
    <w:p w:rsidR="0075651C" w:rsidRPr="00355EF3" w:rsidRDefault="004079C4" w:rsidP="0075651C">
      <w:pPr>
        <w:ind w:left="706" w:hanging="706"/>
        <w:rPr>
          <w:rFonts w:cs="Times New Roman"/>
          <w:szCs w:val="22"/>
        </w:rPr>
      </w:pPr>
      <w:r w:rsidRPr="00355EF3">
        <w:rPr>
          <w:rFonts w:cs="Times New Roman"/>
          <w:szCs w:val="22"/>
        </w:rPr>
        <w:t>Fairholm, R. (2009). “Literature Review of Socioeconomic Effects and Net Benefits – Understanding and Addressing Workforce Shortages in Early Childhood Education and Care (ECEC) Project”, Child Care Human Resource Sector Council.</w:t>
      </w:r>
    </w:p>
    <w:p w:rsidR="004079C4" w:rsidRPr="00355EF3" w:rsidRDefault="0075651C" w:rsidP="0075651C">
      <w:pPr>
        <w:ind w:left="706" w:hanging="706"/>
        <w:rPr>
          <w:rFonts w:cs="Times New Roman"/>
          <w:szCs w:val="22"/>
        </w:rPr>
      </w:pPr>
      <w:r w:rsidRPr="00355EF3">
        <w:rPr>
          <w:rFonts w:cs="Times New Roman"/>
          <w:szCs w:val="22"/>
        </w:rPr>
        <w:t>Fairholm, R. (2010). “</w:t>
      </w:r>
      <w:r w:rsidR="004079C4" w:rsidRPr="00355EF3">
        <w:rPr>
          <w:rFonts w:cs="Times New Roman"/>
          <w:bCs/>
          <w:szCs w:val="22"/>
          <w:lang w:eastAsia="en-CA"/>
        </w:rPr>
        <w:t>Early Learning Impact</w:t>
      </w:r>
      <w:r w:rsidRPr="00355EF3">
        <w:rPr>
          <w:rFonts w:cs="Times New Roman"/>
          <w:bCs/>
          <w:szCs w:val="22"/>
          <w:lang w:eastAsia="en-CA"/>
        </w:rPr>
        <w:t xml:space="preserve"> </w:t>
      </w:r>
      <w:r w:rsidR="004079C4" w:rsidRPr="00355EF3">
        <w:rPr>
          <w:rFonts w:cs="Times New Roman"/>
          <w:bCs/>
          <w:szCs w:val="22"/>
          <w:lang w:eastAsia="en-CA"/>
        </w:rPr>
        <w:t>Analysis of Subsidy Removal</w:t>
      </w:r>
      <w:r w:rsidRPr="00355EF3">
        <w:rPr>
          <w:rFonts w:cs="Times New Roman"/>
          <w:bCs/>
          <w:szCs w:val="22"/>
          <w:lang w:eastAsia="en-CA"/>
        </w:rPr>
        <w:t xml:space="preserve">”, </w:t>
      </w:r>
      <w:r w:rsidRPr="00355EF3">
        <w:rPr>
          <w:rFonts w:cs="Times New Roman"/>
          <w:szCs w:val="22"/>
          <w:lang w:eastAsia="en-CA"/>
        </w:rPr>
        <w:t xml:space="preserve">Ontario Coalition for Better Child Care. Retrieved on October 15, 2010. from </w:t>
      </w:r>
      <w:r w:rsidR="004079C4" w:rsidRPr="00355EF3">
        <w:rPr>
          <w:rFonts w:cs="Times New Roman"/>
          <w:szCs w:val="22"/>
        </w:rPr>
        <w:t>www.childcareontario.org/wp-content/uploads/2010/02/Analysis-of-Subsidy-Removal-Report.pdf</w:t>
      </w:r>
    </w:p>
    <w:p w:rsidR="00353E94" w:rsidRPr="00355EF3" w:rsidRDefault="00513BA8" w:rsidP="00353E94">
      <w:pPr>
        <w:ind w:left="706" w:hanging="706"/>
        <w:rPr>
          <w:rFonts w:cs="Times New Roman"/>
          <w:szCs w:val="22"/>
        </w:rPr>
      </w:pPr>
      <w:r w:rsidRPr="00355EF3">
        <w:rPr>
          <w:rFonts w:cs="Times New Roman"/>
          <w:szCs w:val="22"/>
        </w:rPr>
        <w:t xml:space="preserve">Fairholm, R. </w:t>
      </w:r>
      <w:r w:rsidR="00877373" w:rsidRPr="00355EF3">
        <w:rPr>
          <w:rFonts w:cs="Times New Roman"/>
          <w:szCs w:val="22"/>
        </w:rPr>
        <w:t xml:space="preserve">and J. Davis, </w:t>
      </w:r>
      <w:r w:rsidRPr="00355EF3">
        <w:rPr>
          <w:rFonts w:cs="Times New Roman"/>
          <w:szCs w:val="22"/>
        </w:rPr>
        <w:t>(2010). “</w:t>
      </w:r>
      <w:r w:rsidRPr="00355EF3">
        <w:rPr>
          <w:rFonts w:cs="Times New Roman"/>
          <w:bCs/>
          <w:szCs w:val="22"/>
          <w:lang w:eastAsia="en-CA"/>
        </w:rPr>
        <w:t>Early Learning and Care Impact Analysis”, for the Atkinson Charitable Foundation</w:t>
      </w:r>
      <w:r w:rsidRPr="00355EF3">
        <w:rPr>
          <w:rFonts w:cs="Times New Roman"/>
          <w:szCs w:val="22"/>
          <w:lang w:eastAsia="en-CA"/>
        </w:rPr>
        <w:t>. Retrieved on October 15, 2010. from</w:t>
      </w:r>
      <w:r w:rsidR="00860DA0" w:rsidRPr="00355EF3">
        <w:rPr>
          <w:rFonts w:cs="Times New Roman"/>
          <w:szCs w:val="22"/>
          <w:lang w:eastAsia="en-CA"/>
        </w:rPr>
        <w:t xml:space="preserve"> </w:t>
      </w:r>
      <w:r w:rsidR="00860DA0" w:rsidRPr="00355EF3">
        <w:rPr>
          <w:rFonts w:cs="Times New Roman"/>
          <w:szCs w:val="22"/>
        </w:rPr>
        <w:t>www.atkionsonfoundation.ca/updates</w:t>
      </w:r>
    </w:p>
    <w:p w:rsidR="008F2188" w:rsidRPr="00355EF3" w:rsidRDefault="008F2188" w:rsidP="008F2188">
      <w:pPr>
        <w:ind w:left="706" w:hanging="706"/>
        <w:rPr>
          <w:rFonts w:cs="Times New Roman"/>
          <w:szCs w:val="22"/>
        </w:rPr>
      </w:pPr>
      <w:r w:rsidRPr="00355EF3">
        <w:rPr>
          <w:rFonts w:cs="Times New Roman"/>
          <w:szCs w:val="22"/>
        </w:rPr>
        <w:t xml:space="preserve">Galinsky, E., </w:t>
      </w:r>
      <w:r w:rsidR="00BB30D1" w:rsidRPr="00355EF3">
        <w:rPr>
          <w:rFonts w:cs="Times New Roman"/>
          <w:szCs w:val="22"/>
        </w:rPr>
        <w:t xml:space="preserve">C. </w:t>
      </w:r>
      <w:r w:rsidRPr="00355EF3">
        <w:rPr>
          <w:rFonts w:cs="Times New Roman"/>
          <w:szCs w:val="22"/>
        </w:rPr>
        <w:t xml:space="preserve">Howes, </w:t>
      </w:r>
      <w:r w:rsidR="00BB30D1" w:rsidRPr="00355EF3">
        <w:rPr>
          <w:rFonts w:cs="Times New Roman"/>
          <w:szCs w:val="22"/>
        </w:rPr>
        <w:t>S</w:t>
      </w:r>
      <w:r w:rsidRPr="00355EF3">
        <w:rPr>
          <w:rFonts w:cs="Times New Roman"/>
          <w:szCs w:val="22"/>
        </w:rPr>
        <w:t>.</w:t>
      </w:r>
      <w:r w:rsidR="00BB30D1" w:rsidRPr="00355EF3">
        <w:rPr>
          <w:rFonts w:cs="Times New Roman"/>
          <w:szCs w:val="22"/>
        </w:rPr>
        <w:t xml:space="preserve"> Kontos </w:t>
      </w:r>
      <w:r w:rsidRPr="00355EF3">
        <w:rPr>
          <w:rFonts w:cs="Times New Roman"/>
          <w:szCs w:val="22"/>
        </w:rPr>
        <w:t xml:space="preserve">and </w:t>
      </w:r>
      <w:r w:rsidR="00BB30D1" w:rsidRPr="00355EF3">
        <w:rPr>
          <w:rFonts w:cs="Times New Roman"/>
          <w:szCs w:val="22"/>
        </w:rPr>
        <w:t xml:space="preserve">M. </w:t>
      </w:r>
      <w:r w:rsidRPr="00355EF3">
        <w:rPr>
          <w:rFonts w:cs="Times New Roman"/>
          <w:szCs w:val="22"/>
        </w:rPr>
        <w:t>Shinn, (1994) “The study of children in family child care and relative care: Highlights of findings”, New York: Families and Work Institute.</w:t>
      </w:r>
    </w:p>
    <w:p w:rsidR="00353E94" w:rsidRPr="00355EF3" w:rsidRDefault="00353E94" w:rsidP="00353E94">
      <w:pPr>
        <w:ind w:left="706" w:hanging="706"/>
        <w:rPr>
          <w:rFonts w:cs="Times New Roman"/>
          <w:szCs w:val="22"/>
        </w:rPr>
      </w:pPr>
      <w:r w:rsidRPr="00355EF3">
        <w:rPr>
          <w:rFonts w:cs="Times New Roman"/>
          <w:color w:val="000000"/>
          <w:szCs w:val="22"/>
          <w:lang w:eastAsia="en-CA"/>
        </w:rPr>
        <w:t xml:space="preserve">Gamble, T. J., and E. Zigler (1986). “Effects of infant day-care: Another look at the evidence.” </w:t>
      </w:r>
      <w:r w:rsidRPr="00355EF3">
        <w:rPr>
          <w:rFonts w:cs="Times New Roman"/>
          <w:i/>
          <w:iCs/>
          <w:color w:val="000000"/>
          <w:szCs w:val="22"/>
          <w:lang w:eastAsia="en-CA"/>
        </w:rPr>
        <w:t>American Journal of Orthopsychiatry</w:t>
      </w:r>
      <w:r w:rsidRPr="00355EF3">
        <w:rPr>
          <w:rFonts w:cs="Times New Roman"/>
          <w:color w:val="000000"/>
          <w:szCs w:val="22"/>
          <w:lang w:eastAsia="en-CA"/>
        </w:rPr>
        <w:t>, 56, pp. 26-42.</w:t>
      </w:r>
    </w:p>
    <w:p w:rsidR="00353E94" w:rsidRPr="00355EF3" w:rsidRDefault="00353E94" w:rsidP="00353E94">
      <w:pPr>
        <w:ind w:left="706" w:hanging="706"/>
        <w:rPr>
          <w:rFonts w:cs="Times New Roman"/>
          <w:szCs w:val="22"/>
        </w:rPr>
      </w:pPr>
      <w:r w:rsidRPr="00355EF3">
        <w:rPr>
          <w:rFonts w:cs="Times New Roman"/>
          <w:color w:val="000000"/>
          <w:szCs w:val="22"/>
          <w:lang w:eastAsia="en-CA"/>
        </w:rPr>
        <w:t xml:space="preserve">Goodman, A. and B. Sianesi (2005). “Early Education and Children's Outcomes: How Long Do the Impacts Last?” </w:t>
      </w:r>
      <w:r w:rsidRPr="00355EF3">
        <w:rPr>
          <w:rFonts w:cs="Times New Roman"/>
          <w:i/>
          <w:iCs/>
          <w:color w:val="000000"/>
          <w:szCs w:val="22"/>
          <w:lang w:eastAsia="en-CA"/>
        </w:rPr>
        <w:t>Fiscal Studies</w:t>
      </w:r>
      <w:r w:rsidRPr="00355EF3">
        <w:rPr>
          <w:rFonts w:cs="Times New Roman"/>
          <w:color w:val="000000"/>
          <w:szCs w:val="22"/>
          <w:lang w:eastAsia="en-CA"/>
        </w:rPr>
        <w:t>, 26(4), pp. 513-548.</w:t>
      </w:r>
    </w:p>
    <w:p w:rsidR="00353E94" w:rsidRPr="00355EF3" w:rsidRDefault="00353E94" w:rsidP="00353E94">
      <w:pPr>
        <w:ind w:left="706" w:hanging="706"/>
        <w:rPr>
          <w:rFonts w:cs="Times New Roman"/>
          <w:szCs w:val="22"/>
        </w:rPr>
      </w:pPr>
      <w:r w:rsidRPr="00355EF3">
        <w:rPr>
          <w:rFonts w:cs="Times New Roman"/>
          <w:color w:val="000000"/>
          <w:szCs w:val="22"/>
          <w:lang w:eastAsia="en-CA"/>
        </w:rPr>
        <w:t xml:space="preserve">Gormley, W. T. Jr. and T. Gayer (2005). “Promoting School Readiness in Oklahoma: An evaluation of Tulsa’s pre-K program.” </w:t>
      </w:r>
      <w:r w:rsidRPr="00355EF3">
        <w:rPr>
          <w:rFonts w:cs="Times New Roman"/>
          <w:i/>
          <w:iCs/>
          <w:color w:val="000000"/>
          <w:szCs w:val="22"/>
          <w:lang w:eastAsia="en-CA"/>
        </w:rPr>
        <w:t>Journal of Human Resources</w:t>
      </w:r>
      <w:r w:rsidRPr="00355EF3">
        <w:rPr>
          <w:rFonts w:cs="Times New Roman"/>
          <w:color w:val="000000"/>
          <w:szCs w:val="22"/>
          <w:lang w:eastAsia="en-CA"/>
        </w:rPr>
        <w:t>, 60, pp. 533-558.</w:t>
      </w:r>
    </w:p>
    <w:p w:rsidR="00353E94" w:rsidRPr="00355EF3" w:rsidRDefault="00353E94" w:rsidP="00353E94">
      <w:pPr>
        <w:ind w:left="706" w:hanging="706"/>
        <w:rPr>
          <w:rFonts w:cs="Times New Roman"/>
          <w:szCs w:val="22"/>
        </w:rPr>
      </w:pPr>
      <w:r w:rsidRPr="00355EF3">
        <w:rPr>
          <w:rFonts w:cs="Times New Roman"/>
          <w:color w:val="000000"/>
          <w:szCs w:val="22"/>
          <w:lang w:eastAsia="en-CA"/>
        </w:rPr>
        <w:t xml:space="preserve">Gormley, W. T.Jr., T. Gayer, D. Phillips and B. Dawson (2005). “The Effects of Universal Pre-K on Cognitive Development.” </w:t>
      </w:r>
      <w:r w:rsidRPr="00355EF3">
        <w:rPr>
          <w:rFonts w:cs="Times New Roman"/>
          <w:i/>
          <w:iCs/>
          <w:color w:val="000000"/>
          <w:szCs w:val="22"/>
          <w:lang w:eastAsia="en-CA"/>
        </w:rPr>
        <w:t>Developmental Psychology</w:t>
      </w:r>
      <w:r w:rsidRPr="00355EF3">
        <w:rPr>
          <w:rFonts w:cs="Times New Roman"/>
          <w:color w:val="000000"/>
          <w:szCs w:val="22"/>
          <w:lang w:eastAsia="en-CA"/>
        </w:rPr>
        <w:t>, 41, pp. 872–884.</w:t>
      </w:r>
    </w:p>
    <w:p w:rsidR="008F2188" w:rsidRPr="00355EF3" w:rsidRDefault="008F2188" w:rsidP="008F2188">
      <w:pPr>
        <w:autoSpaceDE w:val="0"/>
        <w:ind w:left="706" w:hanging="706"/>
        <w:rPr>
          <w:rFonts w:cs="Times New Roman"/>
          <w:szCs w:val="22"/>
        </w:rPr>
      </w:pPr>
      <w:r w:rsidRPr="00355EF3">
        <w:rPr>
          <w:rFonts w:cs="Times New Roman"/>
          <w:szCs w:val="22"/>
        </w:rPr>
        <w:t xml:space="preserve">Graafland, J.J. (2000), “Childcare subsidies, labour supply and public finance: an AGE approach,” </w:t>
      </w:r>
      <w:r w:rsidRPr="00355EF3">
        <w:rPr>
          <w:rFonts w:cs="Times New Roman"/>
          <w:i/>
          <w:iCs/>
          <w:szCs w:val="22"/>
        </w:rPr>
        <w:t xml:space="preserve">Economic Modelling, </w:t>
      </w:r>
      <w:r w:rsidRPr="00355EF3">
        <w:rPr>
          <w:rFonts w:cs="Times New Roman"/>
          <w:szCs w:val="22"/>
        </w:rPr>
        <w:t>17, pp. 209-246.</w:t>
      </w:r>
    </w:p>
    <w:p w:rsidR="008F2188" w:rsidRPr="00355EF3" w:rsidRDefault="00BB30D1" w:rsidP="008F2188">
      <w:pPr>
        <w:ind w:left="706" w:hanging="706"/>
        <w:rPr>
          <w:rFonts w:cs="Times New Roman"/>
          <w:szCs w:val="22"/>
        </w:rPr>
      </w:pPr>
      <w:r w:rsidRPr="00355EF3">
        <w:rPr>
          <w:rFonts w:cs="Times New Roman"/>
          <w:szCs w:val="22"/>
        </w:rPr>
        <w:t>Gustafsson S.</w:t>
      </w:r>
      <w:r w:rsidR="008F2188" w:rsidRPr="00355EF3">
        <w:rPr>
          <w:rFonts w:cs="Times New Roman"/>
          <w:szCs w:val="22"/>
        </w:rPr>
        <w:t>, and F</w:t>
      </w:r>
      <w:r w:rsidRPr="00355EF3">
        <w:rPr>
          <w:rFonts w:cs="Times New Roman"/>
          <w:szCs w:val="22"/>
        </w:rPr>
        <w:t>.</w:t>
      </w:r>
      <w:r w:rsidR="008F2188" w:rsidRPr="00355EF3">
        <w:rPr>
          <w:rFonts w:cs="Times New Roman"/>
          <w:szCs w:val="22"/>
        </w:rPr>
        <w:t xml:space="preserve"> Stafford</w:t>
      </w:r>
      <w:r w:rsidRPr="00355EF3">
        <w:rPr>
          <w:rFonts w:cs="Times New Roman"/>
          <w:szCs w:val="22"/>
        </w:rPr>
        <w:t>,</w:t>
      </w:r>
      <w:r w:rsidR="008F2188" w:rsidRPr="00355EF3">
        <w:rPr>
          <w:rFonts w:cs="Times New Roman"/>
          <w:szCs w:val="22"/>
        </w:rPr>
        <w:t xml:space="preserve"> (1992). </w:t>
      </w:r>
      <w:r w:rsidR="00942498" w:rsidRPr="00355EF3">
        <w:rPr>
          <w:rFonts w:cs="Times New Roman"/>
          <w:szCs w:val="22"/>
        </w:rPr>
        <w:t>“</w:t>
      </w:r>
      <w:r w:rsidR="008F2188" w:rsidRPr="00355EF3">
        <w:rPr>
          <w:rFonts w:cs="Times New Roman"/>
          <w:szCs w:val="22"/>
        </w:rPr>
        <w:t xml:space="preserve">Child Care Subsidies and Labor Supply In Sweden”, </w:t>
      </w:r>
      <w:r w:rsidR="008F2188" w:rsidRPr="00355EF3">
        <w:rPr>
          <w:rFonts w:cs="Times New Roman"/>
          <w:i/>
          <w:szCs w:val="22"/>
        </w:rPr>
        <w:t>Journal of Human Resources</w:t>
      </w:r>
      <w:r w:rsidR="008F2188" w:rsidRPr="00355EF3">
        <w:rPr>
          <w:rFonts w:cs="Times New Roman"/>
          <w:szCs w:val="22"/>
        </w:rPr>
        <w:t>, pp. 204-230.</w:t>
      </w:r>
    </w:p>
    <w:p w:rsidR="008F2188" w:rsidRPr="00355EF3" w:rsidRDefault="008F2188" w:rsidP="008F2188">
      <w:pPr>
        <w:ind w:left="706" w:hanging="706"/>
        <w:rPr>
          <w:rFonts w:cs="Times New Roman"/>
          <w:szCs w:val="22"/>
        </w:rPr>
      </w:pPr>
      <w:r w:rsidRPr="00355EF3">
        <w:rPr>
          <w:rFonts w:cs="Times New Roman"/>
          <w:szCs w:val="22"/>
        </w:rPr>
        <w:lastRenderedPageBreak/>
        <w:t>Haan, P.</w:t>
      </w:r>
      <w:r w:rsidR="00942498" w:rsidRPr="00355EF3">
        <w:rPr>
          <w:rFonts w:cs="Times New Roman"/>
          <w:szCs w:val="22"/>
        </w:rPr>
        <w:t>,</w:t>
      </w:r>
      <w:r w:rsidRPr="00355EF3">
        <w:rPr>
          <w:rFonts w:cs="Times New Roman"/>
          <w:szCs w:val="22"/>
        </w:rPr>
        <w:t xml:space="preserve"> </w:t>
      </w:r>
      <w:r w:rsidR="00942498" w:rsidRPr="00355EF3">
        <w:rPr>
          <w:rFonts w:cs="Times New Roman"/>
          <w:szCs w:val="22"/>
        </w:rPr>
        <w:t>(</w:t>
      </w:r>
      <w:r w:rsidRPr="00355EF3">
        <w:rPr>
          <w:rFonts w:cs="Times New Roman"/>
          <w:szCs w:val="22"/>
        </w:rPr>
        <w:t>2004</w:t>
      </w:r>
      <w:r w:rsidR="00942498" w:rsidRPr="00355EF3">
        <w:rPr>
          <w:rFonts w:cs="Times New Roman"/>
          <w:szCs w:val="22"/>
        </w:rPr>
        <w:t>)</w:t>
      </w:r>
      <w:r w:rsidRPr="00355EF3">
        <w:rPr>
          <w:rFonts w:cs="Times New Roman"/>
          <w:szCs w:val="22"/>
        </w:rPr>
        <w:t xml:space="preserve">. </w:t>
      </w:r>
      <w:r w:rsidR="00942498" w:rsidRPr="00355EF3">
        <w:rPr>
          <w:rFonts w:cs="Times New Roman"/>
          <w:szCs w:val="22"/>
        </w:rPr>
        <w:t>“</w:t>
      </w:r>
      <w:r w:rsidRPr="00355EF3">
        <w:rPr>
          <w:rFonts w:cs="Times New Roman"/>
          <w:szCs w:val="22"/>
        </w:rPr>
        <w:t>Discrete Choice Labor Supply: Conditional Logit vs. Random Coefficient Models,</w:t>
      </w:r>
      <w:r w:rsidR="00942498" w:rsidRPr="00355EF3">
        <w:rPr>
          <w:rFonts w:cs="Times New Roman"/>
          <w:szCs w:val="22"/>
        </w:rPr>
        <w:t>”</w:t>
      </w:r>
      <w:r w:rsidRPr="00355EF3">
        <w:rPr>
          <w:rFonts w:cs="Times New Roman"/>
          <w:szCs w:val="22"/>
        </w:rPr>
        <w:t xml:space="preserve"> </w:t>
      </w:r>
      <w:r w:rsidRPr="00355EF3">
        <w:rPr>
          <w:rFonts w:cs="Times New Roman"/>
          <w:i/>
          <w:szCs w:val="22"/>
        </w:rPr>
        <w:t>Discussion Papers</w:t>
      </w:r>
      <w:r w:rsidRPr="00355EF3">
        <w:rPr>
          <w:rFonts w:cs="Times New Roman"/>
          <w:szCs w:val="22"/>
        </w:rPr>
        <w:t>, DIW Berlin 394, German Institute for Economic Research, pp. 1-21</w:t>
      </w:r>
    </w:p>
    <w:p w:rsidR="00D94DA1" w:rsidRPr="00355EF3" w:rsidRDefault="008F2188" w:rsidP="00D94DA1">
      <w:pPr>
        <w:ind w:left="706" w:hanging="706"/>
        <w:rPr>
          <w:rFonts w:cs="Times New Roman"/>
          <w:szCs w:val="22"/>
        </w:rPr>
      </w:pPr>
      <w:r w:rsidRPr="00355EF3">
        <w:rPr>
          <w:rFonts w:cs="Times New Roman"/>
          <w:szCs w:val="22"/>
        </w:rPr>
        <w:t>Han, W</w:t>
      </w:r>
      <w:r w:rsidR="00942498" w:rsidRPr="00355EF3">
        <w:rPr>
          <w:rFonts w:cs="Times New Roman"/>
          <w:szCs w:val="22"/>
        </w:rPr>
        <w:t>.</w:t>
      </w:r>
      <w:r w:rsidRPr="00355EF3">
        <w:rPr>
          <w:rFonts w:cs="Times New Roman"/>
          <w:szCs w:val="22"/>
        </w:rPr>
        <w:t xml:space="preserve"> and J</w:t>
      </w:r>
      <w:r w:rsidR="00942498" w:rsidRPr="00355EF3">
        <w:rPr>
          <w:rFonts w:cs="Times New Roman"/>
          <w:szCs w:val="22"/>
        </w:rPr>
        <w:t>.</w:t>
      </w:r>
      <w:r w:rsidRPr="00355EF3">
        <w:rPr>
          <w:rFonts w:cs="Times New Roman"/>
          <w:szCs w:val="22"/>
        </w:rPr>
        <w:t xml:space="preserve"> Waldfogel</w:t>
      </w:r>
      <w:r w:rsidR="00942498" w:rsidRPr="00355EF3">
        <w:rPr>
          <w:rFonts w:cs="Times New Roman"/>
          <w:szCs w:val="22"/>
        </w:rPr>
        <w:t>,</w:t>
      </w:r>
      <w:r w:rsidRPr="00355EF3">
        <w:rPr>
          <w:rFonts w:cs="Times New Roman"/>
          <w:szCs w:val="22"/>
        </w:rPr>
        <w:t xml:space="preserve"> (2001). </w:t>
      </w:r>
      <w:r w:rsidR="00942498" w:rsidRPr="00355EF3">
        <w:rPr>
          <w:rFonts w:cs="Times New Roman"/>
          <w:szCs w:val="22"/>
        </w:rPr>
        <w:t>“</w:t>
      </w:r>
      <w:r w:rsidRPr="00355EF3">
        <w:rPr>
          <w:rFonts w:cs="Times New Roman"/>
          <w:szCs w:val="22"/>
        </w:rPr>
        <w:t>Child Care Costs and Women's Employment: A Comparison of Single and Married Mothers With Pre-School-Aged Children</w:t>
      </w:r>
      <w:r w:rsidR="00942498" w:rsidRPr="00355EF3">
        <w:rPr>
          <w:rFonts w:cs="Times New Roman"/>
          <w:szCs w:val="22"/>
        </w:rPr>
        <w:t>”</w:t>
      </w:r>
      <w:r w:rsidRPr="00355EF3">
        <w:rPr>
          <w:rFonts w:cs="Times New Roman"/>
          <w:szCs w:val="22"/>
        </w:rPr>
        <w:t xml:space="preserve">, </w:t>
      </w:r>
      <w:r w:rsidRPr="00355EF3">
        <w:rPr>
          <w:rFonts w:cs="Times New Roman"/>
          <w:i/>
          <w:szCs w:val="22"/>
        </w:rPr>
        <w:t>Social Science Quarterly</w:t>
      </w:r>
      <w:r w:rsidRPr="00355EF3">
        <w:rPr>
          <w:rFonts w:cs="Times New Roman"/>
          <w:szCs w:val="22"/>
        </w:rPr>
        <w:t xml:space="preserve">, 82(3), pp. 552-568. </w:t>
      </w:r>
    </w:p>
    <w:p w:rsidR="00D94DA1" w:rsidRPr="00355EF3" w:rsidRDefault="00D94DA1" w:rsidP="00D94DA1">
      <w:pPr>
        <w:ind w:left="706" w:hanging="706"/>
        <w:rPr>
          <w:rFonts w:cs="Times New Roman"/>
          <w:color w:val="000000"/>
          <w:szCs w:val="22"/>
          <w:lang w:eastAsia="en-CA"/>
        </w:rPr>
      </w:pPr>
      <w:r w:rsidRPr="00355EF3">
        <w:rPr>
          <w:rFonts w:cs="Times New Roman"/>
          <w:color w:val="000000"/>
          <w:szCs w:val="22"/>
          <w:lang w:eastAsia="en-CA"/>
        </w:rPr>
        <w:t xml:space="preserve">Haskins, R. (1985). “Public school aggression among children with varying day care experience.” </w:t>
      </w:r>
      <w:r w:rsidRPr="00355EF3">
        <w:rPr>
          <w:rFonts w:cs="Times New Roman"/>
          <w:i/>
          <w:iCs/>
          <w:color w:val="000000"/>
          <w:szCs w:val="22"/>
          <w:lang w:eastAsia="en-CA"/>
        </w:rPr>
        <w:t>Child Development</w:t>
      </w:r>
      <w:r w:rsidRPr="00355EF3">
        <w:rPr>
          <w:rFonts w:cs="Times New Roman"/>
          <w:color w:val="000000"/>
          <w:szCs w:val="22"/>
          <w:lang w:eastAsia="en-CA"/>
        </w:rPr>
        <w:t>, 56, pp. 689–703.</w:t>
      </w:r>
    </w:p>
    <w:p w:rsidR="00D94DA1" w:rsidRPr="00355EF3" w:rsidRDefault="00353E94" w:rsidP="00D94DA1">
      <w:pPr>
        <w:ind w:left="706" w:hanging="706"/>
        <w:rPr>
          <w:rFonts w:cs="Times New Roman"/>
          <w:color w:val="000000"/>
          <w:szCs w:val="22"/>
          <w:lang w:eastAsia="en-CA"/>
        </w:rPr>
      </w:pPr>
      <w:r w:rsidRPr="00355EF3">
        <w:rPr>
          <w:rFonts w:cs="Times New Roman"/>
          <w:szCs w:val="22"/>
          <w:lang w:eastAsia="en-CA"/>
        </w:rPr>
        <w:t>Heckman, J.</w:t>
      </w:r>
      <w:r w:rsidR="00D94DA1" w:rsidRPr="00355EF3">
        <w:rPr>
          <w:rFonts w:cs="Times New Roman"/>
          <w:szCs w:val="22"/>
          <w:lang w:eastAsia="en-CA"/>
        </w:rPr>
        <w:t xml:space="preserve">, (2000). </w:t>
      </w:r>
      <w:r w:rsidR="00D94DA1" w:rsidRPr="00355EF3">
        <w:rPr>
          <w:rFonts w:cs="Times New Roman"/>
          <w:color w:val="000000"/>
          <w:szCs w:val="22"/>
          <w:lang w:eastAsia="en-CA"/>
        </w:rPr>
        <w:t>“</w:t>
      </w:r>
      <w:r w:rsidR="00D94DA1" w:rsidRPr="00355EF3">
        <w:rPr>
          <w:rFonts w:cs="Times New Roman"/>
          <w:szCs w:val="22"/>
          <w:lang w:eastAsia="en-CA"/>
        </w:rPr>
        <w:t>Policies to Foster Human Capital</w:t>
      </w:r>
      <w:r w:rsidR="00D94DA1" w:rsidRPr="00355EF3">
        <w:rPr>
          <w:rFonts w:cs="Times New Roman"/>
          <w:color w:val="000000"/>
          <w:szCs w:val="22"/>
          <w:lang w:eastAsia="en-CA"/>
        </w:rPr>
        <w:t>.”</w:t>
      </w:r>
      <w:r w:rsidR="00D94DA1" w:rsidRPr="00355EF3">
        <w:rPr>
          <w:rFonts w:cs="Times New Roman"/>
          <w:szCs w:val="22"/>
          <w:lang w:eastAsia="en-CA"/>
        </w:rPr>
        <w:t xml:space="preserve"> Joint Center for Poverty ResearchWorking Papers 154. Northwestern University / University of Chicago.</w:t>
      </w:r>
    </w:p>
    <w:p w:rsidR="00D94DA1" w:rsidRPr="00355EF3" w:rsidRDefault="009F66D1" w:rsidP="00D94DA1">
      <w:pPr>
        <w:ind w:left="706" w:hanging="706"/>
        <w:rPr>
          <w:rFonts w:cs="Times New Roman"/>
          <w:color w:val="000000"/>
          <w:szCs w:val="22"/>
          <w:lang w:eastAsia="en-CA"/>
        </w:rPr>
      </w:pPr>
      <w:r w:rsidRPr="00355EF3">
        <w:rPr>
          <w:rFonts w:cs="Times New Roman"/>
          <w:color w:val="000000"/>
          <w:szCs w:val="22"/>
          <w:lang w:eastAsia="en-CA"/>
        </w:rPr>
        <w:t>Heckman, J. and D. Masterov</w:t>
      </w:r>
      <w:r w:rsidR="00D94DA1" w:rsidRPr="00355EF3">
        <w:rPr>
          <w:rFonts w:cs="Times New Roman"/>
          <w:color w:val="000000"/>
          <w:szCs w:val="22"/>
          <w:lang w:eastAsia="en-CA"/>
        </w:rPr>
        <w:t>,</w:t>
      </w:r>
      <w:r w:rsidRPr="00355EF3">
        <w:rPr>
          <w:rFonts w:cs="Times New Roman"/>
          <w:color w:val="000000"/>
          <w:szCs w:val="22"/>
          <w:lang w:eastAsia="en-CA"/>
        </w:rPr>
        <w:t xml:space="preserve"> (2004). “The Productivity Argument for Investing in Young Children.” </w:t>
      </w:r>
      <w:r w:rsidRPr="00355EF3">
        <w:rPr>
          <w:rFonts w:cs="Times New Roman"/>
          <w:i/>
          <w:iCs/>
          <w:color w:val="000000"/>
          <w:szCs w:val="22"/>
          <w:lang w:eastAsia="en-CA"/>
        </w:rPr>
        <w:t>Working Paper</w:t>
      </w:r>
      <w:r w:rsidRPr="00355EF3">
        <w:rPr>
          <w:rFonts w:cs="Times New Roman"/>
          <w:color w:val="000000"/>
          <w:szCs w:val="22"/>
          <w:lang w:eastAsia="en-CA"/>
        </w:rPr>
        <w:t>, No. 5, Washington, DC: Invest in Kids Working Group, October 2004, pp. 446-493.</w:t>
      </w:r>
    </w:p>
    <w:p w:rsidR="009F66D1" w:rsidRPr="00355EF3" w:rsidRDefault="009F66D1" w:rsidP="00D94DA1">
      <w:pPr>
        <w:ind w:left="706" w:hanging="706"/>
        <w:rPr>
          <w:rFonts w:cs="Times New Roman"/>
          <w:color w:val="000000"/>
          <w:szCs w:val="22"/>
          <w:lang w:eastAsia="en-CA"/>
        </w:rPr>
      </w:pPr>
      <w:r w:rsidRPr="00355EF3">
        <w:rPr>
          <w:rFonts w:cs="Times New Roman"/>
          <w:color w:val="000000"/>
          <w:szCs w:val="22"/>
          <w:lang w:eastAsia="en-CA"/>
        </w:rPr>
        <w:t xml:space="preserve">Helburn, S.W. (Ed.) (1995). </w:t>
      </w:r>
      <w:r w:rsidRPr="00355EF3">
        <w:rPr>
          <w:rFonts w:cs="Times New Roman"/>
          <w:i/>
          <w:iCs/>
          <w:color w:val="000000"/>
          <w:szCs w:val="22"/>
          <w:lang w:eastAsia="en-CA"/>
        </w:rPr>
        <w:t>Child care, cost, and quality in child care centers –  Technical report</w:t>
      </w:r>
      <w:r w:rsidRPr="00355EF3">
        <w:rPr>
          <w:rFonts w:cs="Times New Roman"/>
          <w:color w:val="000000"/>
          <w:szCs w:val="22"/>
          <w:lang w:eastAsia="en-CA"/>
        </w:rPr>
        <w:t>. Denver, CO: University of Colorado at Denver, Department of Economics, Center for Research in Economics and Social Policy.</w:t>
      </w:r>
    </w:p>
    <w:p w:rsidR="00D94DA1" w:rsidRPr="00355EF3" w:rsidRDefault="009F66D1" w:rsidP="00D94DA1">
      <w:pPr>
        <w:ind w:left="706" w:hanging="706"/>
        <w:rPr>
          <w:rFonts w:cs="Times New Roman"/>
          <w:color w:val="000000"/>
          <w:szCs w:val="22"/>
          <w:lang w:eastAsia="en-CA"/>
        </w:rPr>
      </w:pPr>
      <w:r w:rsidRPr="00355EF3">
        <w:rPr>
          <w:rFonts w:cs="Times New Roman"/>
          <w:color w:val="000000"/>
          <w:szCs w:val="22"/>
          <w:lang w:eastAsia="en-CA"/>
        </w:rPr>
        <w:t xml:space="preserve">Jarousse, J.P., A. Mingat et M. Richard (1992). “La scolarisation maternelle à deux ans : effets pédagogiques et sociaux.” </w:t>
      </w:r>
      <w:r w:rsidRPr="00355EF3">
        <w:rPr>
          <w:rFonts w:cs="Times New Roman"/>
          <w:i/>
          <w:iCs/>
          <w:color w:val="000000"/>
          <w:szCs w:val="22"/>
          <w:lang w:eastAsia="en-CA"/>
        </w:rPr>
        <w:t>Education et Formation</w:t>
      </w:r>
      <w:r w:rsidRPr="00355EF3">
        <w:rPr>
          <w:rFonts w:cs="Times New Roman"/>
          <w:color w:val="000000"/>
          <w:szCs w:val="22"/>
          <w:lang w:eastAsia="en-CA"/>
        </w:rPr>
        <w:t>, Ministère de l’Éducation nationale et de la Culture, Paris.</w:t>
      </w:r>
    </w:p>
    <w:p w:rsidR="00D94DA1" w:rsidRPr="00355EF3" w:rsidRDefault="00D94DA1" w:rsidP="00D94DA1">
      <w:pPr>
        <w:ind w:left="709" w:hanging="709"/>
        <w:rPr>
          <w:rFonts w:cs="Times New Roman"/>
          <w:szCs w:val="22"/>
        </w:rPr>
      </w:pPr>
      <w:r w:rsidRPr="00355EF3">
        <w:rPr>
          <w:rFonts w:cs="Times New Roman"/>
          <w:szCs w:val="22"/>
        </w:rPr>
        <w:t xml:space="preserve">Jaumotte, F., “Labour Force Participation of Women: Empirical Evidence on the Role of Policy and other Determinants in OECD Countries”, OECD </w:t>
      </w:r>
      <w:r w:rsidRPr="00355EF3">
        <w:rPr>
          <w:rFonts w:cs="Times New Roman"/>
          <w:i/>
          <w:szCs w:val="22"/>
        </w:rPr>
        <w:t>Economic Studies</w:t>
      </w:r>
      <w:r w:rsidRPr="00355EF3">
        <w:rPr>
          <w:rFonts w:cs="Times New Roman"/>
          <w:szCs w:val="22"/>
        </w:rPr>
        <w:t>, no 37 2003/2.</w:t>
      </w:r>
    </w:p>
    <w:p w:rsidR="00D94DA1" w:rsidRPr="00355EF3" w:rsidRDefault="009F66D1" w:rsidP="00D94DA1">
      <w:pPr>
        <w:ind w:left="706" w:hanging="706"/>
        <w:rPr>
          <w:rFonts w:cs="Times New Roman"/>
          <w:color w:val="000000"/>
          <w:szCs w:val="22"/>
          <w:lang w:eastAsia="en-CA"/>
        </w:rPr>
      </w:pPr>
      <w:r w:rsidRPr="00355EF3">
        <w:rPr>
          <w:rFonts w:cs="Times New Roman"/>
          <w:color w:val="000000"/>
          <w:szCs w:val="22"/>
          <w:lang w:eastAsia="en-CA"/>
        </w:rPr>
        <w:t xml:space="preserve">Jester, R.E., and B.J. Guinagh (1983). “The Gordon Parent Education Infant and Toddler Program.” In: </w:t>
      </w:r>
      <w:r w:rsidRPr="00355EF3">
        <w:rPr>
          <w:rFonts w:cs="Times New Roman"/>
          <w:i/>
          <w:iCs/>
          <w:color w:val="000000"/>
          <w:szCs w:val="22"/>
          <w:lang w:eastAsia="en-CA"/>
        </w:rPr>
        <w:t>As the twig is bent . . . lasting effects of preschool programs</w:t>
      </w:r>
      <w:r w:rsidRPr="00355EF3">
        <w:rPr>
          <w:rFonts w:cs="Times New Roman"/>
          <w:color w:val="000000"/>
          <w:szCs w:val="22"/>
          <w:lang w:eastAsia="en-CA"/>
        </w:rPr>
        <w:t>, Consortium for Longitudinal Studies, ed. Hillsdale, NJ: Erlbaum, pp. 103–32.</w:t>
      </w:r>
    </w:p>
    <w:p w:rsidR="00D94DA1" w:rsidRPr="00355EF3" w:rsidRDefault="009F66D1" w:rsidP="00D94DA1">
      <w:pPr>
        <w:ind w:left="706" w:hanging="706"/>
        <w:rPr>
          <w:rFonts w:cs="Times New Roman"/>
          <w:color w:val="000000"/>
          <w:szCs w:val="22"/>
          <w:lang w:eastAsia="en-CA"/>
        </w:rPr>
      </w:pPr>
      <w:r w:rsidRPr="00355EF3">
        <w:rPr>
          <w:rFonts w:cs="Times New Roman"/>
          <w:color w:val="000000"/>
          <w:szCs w:val="22"/>
          <w:lang w:eastAsia="en-CA"/>
        </w:rPr>
        <w:t xml:space="preserve">Johnson, D., and T. Walker (1991). “A follow-up evaluation of the Houston Parent Child Development Center: School performance.” </w:t>
      </w:r>
      <w:r w:rsidRPr="00355EF3">
        <w:rPr>
          <w:rFonts w:cs="Times New Roman"/>
          <w:i/>
          <w:iCs/>
          <w:color w:val="000000"/>
          <w:szCs w:val="22"/>
          <w:lang w:eastAsia="en-CA"/>
        </w:rPr>
        <w:t>Journal of Early Intervention</w:t>
      </w:r>
      <w:r w:rsidRPr="00355EF3">
        <w:rPr>
          <w:rFonts w:cs="Times New Roman"/>
          <w:color w:val="000000"/>
          <w:szCs w:val="22"/>
          <w:lang w:eastAsia="en-CA"/>
        </w:rPr>
        <w:t>, 15(3), pp. 226–36.</w:t>
      </w:r>
    </w:p>
    <w:p w:rsidR="00D94DA1" w:rsidRPr="00355EF3" w:rsidRDefault="00D94DA1" w:rsidP="00D94DA1">
      <w:pPr>
        <w:ind w:left="706" w:hanging="706"/>
        <w:rPr>
          <w:rFonts w:cs="Times New Roman"/>
          <w:szCs w:val="22"/>
          <w:lang w:eastAsia="en-CA"/>
        </w:rPr>
      </w:pPr>
      <w:r w:rsidRPr="00355EF3">
        <w:rPr>
          <w:rFonts w:cs="Times New Roman"/>
          <w:szCs w:val="22"/>
          <w:lang w:eastAsia="en-CA"/>
        </w:rPr>
        <w:t xml:space="preserve">Joesch, J. M. and B. G. Hiedemann, (2002). “The demand for nonrelative child care among families with infants and toddlers: A double-hurdle approach”, </w:t>
      </w:r>
      <w:r w:rsidRPr="00355EF3">
        <w:rPr>
          <w:rFonts w:cs="Times New Roman"/>
          <w:i/>
          <w:iCs/>
          <w:szCs w:val="22"/>
          <w:lang w:eastAsia="en-CA"/>
        </w:rPr>
        <w:t xml:space="preserve">Journal of Population Economics </w:t>
      </w:r>
      <w:r w:rsidR="00355EF3" w:rsidRPr="00355EF3">
        <w:rPr>
          <w:rFonts w:cs="Times New Roman"/>
          <w:szCs w:val="22"/>
          <w:lang w:eastAsia="en-CA"/>
        </w:rPr>
        <w:t>Vol. 15,</w:t>
      </w:r>
      <w:r w:rsidR="00355EF3" w:rsidRPr="00355EF3">
        <w:rPr>
          <w:rFonts w:cs="Times New Roman"/>
          <w:color w:val="000000"/>
          <w:szCs w:val="22"/>
          <w:lang w:eastAsia="en-CA"/>
        </w:rPr>
        <w:t xml:space="preserve"> pp.</w:t>
      </w:r>
      <w:r w:rsidRPr="00355EF3">
        <w:rPr>
          <w:rFonts w:cs="Times New Roman"/>
          <w:szCs w:val="22"/>
          <w:lang w:eastAsia="en-CA"/>
        </w:rPr>
        <w:t xml:space="preserve"> 495-526.</w:t>
      </w:r>
    </w:p>
    <w:p w:rsidR="009F66D1" w:rsidRPr="00355EF3" w:rsidRDefault="009F66D1" w:rsidP="008F2188">
      <w:pPr>
        <w:ind w:left="706" w:hanging="706"/>
        <w:rPr>
          <w:rFonts w:cs="Times New Roman"/>
          <w:szCs w:val="22"/>
        </w:rPr>
      </w:pPr>
      <w:r w:rsidRPr="00355EF3">
        <w:rPr>
          <w:rFonts w:cs="Times New Roman"/>
          <w:color w:val="000000"/>
          <w:szCs w:val="22"/>
          <w:lang w:eastAsia="en-CA"/>
        </w:rPr>
        <w:t xml:space="preserve">Joshi, H. (1990). “The Cash Opportunity Costs of Childbearing: An Approach to Estimation using British Data.” </w:t>
      </w:r>
      <w:r w:rsidRPr="00355EF3">
        <w:rPr>
          <w:rFonts w:cs="Times New Roman"/>
          <w:i/>
          <w:iCs/>
          <w:color w:val="000000"/>
          <w:szCs w:val="22"/>
          <w:lang w:eastAsia="en-CA"/>
        </w:rPr>
        <w:t>Population Studies</w:t>
      </w:r>
      <w:r w:rsidRPr="00355EF3">
        <w:rPr>
          <w:rFonts w:cs="Times New Roman"/>
          <w:color w:val="000000"/>
          <w:szCs w:val="22"/>
          <w:lang w:eastAsia="en-CA"/>
        </w:rPr>
        <w:t>, 44(1), pp. 41-60.</w:t>
      </w:r>
    </w:p>
    <w:p w:rsidR="00942498" w:rsidRPr="00355EF3" w:rsidRDefault="00942498" w:rsidP="00942498">
      <w:pPr>
        <w:ind w:left="706" w:hanging="706"/>
        <w:rPr>
          <w:rFonts w:cs="Times New Roman"/>
          <w:szCs w:val="22"/>
        </w:rPr>
      </w:pPr>
      <w:r w:rsidRPr="00355EF3">
        <w:rPr>
          <w:rFonts w:cs="Times New Roman"/>
          <w:szCs w:val="22"/>
        </w:rPr>
        <w:t xml:space="preserve">Kalb, G. (2002). </w:t>
      </w:r>
      <w:r w:rsidR="00254985" w:rsidRPr="00355EF3">
        <w:rPr>
          <w:rFonts w:cs="Times New Roman"/>
          <w:szCs w:val="22"/>
        </w:rPr>
        <w:t>“</w:t>
      </w:r>
      <w:r w:rsidRPr="00355EF3">
        <w:rPr>
          <w:rFonts w:cs="Times New Roman"/>
          <w:szCs w:val="22"/>
        </w:rPr>
        <w:t xml:space="preserve">Estimation of Labour Supply Models for Four Separate Groups in the Australian Population", </w:t>
      </w:r>
      <w:r w:rsidRPr="00355EF3">
        <w:rPr>
          <w:rFonts w:cs="Times New Roman"/>
          <w:i/>
          <w:szCs w:val="22"/>
        </w:rPr>
        <w:t>Working Paper</w:t>
      </w:r>
      <w:r w:rsidRPr="00355EF3">
        <w:rPr>
          <w:rFonts w:cs="Times New Roman"/>
          <w:szCs w:val="22"/>
        </w:rPr>
        <w:t>, Series wp2002n24, Melbourne Institute of Applied Economic and Social Research, the University of Melbourne, pp. 1-34.</w:t>
      </w:r>
    </w:p>
    <w:p w:rsidR="002825C5" w:rsidRPr="00355EF3" w:rsidRDefault="008F2188" w:rsidP="002825C5">
      <w:pPr>
        <w:ind w:left="706" w:hanging="706"/>
        <w:rPr>
          <w:rFonts w:cs="Times New Roman"/>
          <w:szCs w:val="22"/>
        </w:rPr>
      </w:pPr>
      <w:r w:rsidRPr="00355EF3">
        <w:rPr>
          <w:rFonts w:cs="Times New Roman"/>
          <w:szCs w:val="22"/>
        </w:rPr>
        <w:t>Kalb, G</w:t>
      </w:r>
      <w:r w:rsidR="0046780D" w:rsidRPr="00355EF3">
        <w:rPr>
          <w:rFonts w:cs="Times New Roman"/>
          <w:szCs w:val="22"/>
        </w:rPr>
        <w:t>.</w:t>
      </w:r>
      <w:r w:rsidRPr="00355EF3">
        <w:rPr>
          <w:rFonts w:cs="Times New Roman"/>
          <w:szCs w:val="22"/>
        </w:rPr>
        <w:t xml:space="preserve"> (2007). </w:t>
      </w:r>
      <w:r w:rsidR="00254985" w:rsidRPr="00355EF3">
        <w:rPr>
          <w:rFonts w:cs="Times New Roman"/>
          <w:szCs w:val="22"/>
        </w:rPr>
        <w:t>“</w:t>
      </w:r>
      <w:r w:rsidRPr="00355EF3">
        <w:rPr>
          <w:rFonts w:cs="Times New Roman"/>
          <w:szCs w:val="22"/>
        </w:rPr>
        <w:t xml:space="preserve">Children, Labour Supply and Childcare: Challenges for Empirical Analysis", </w:t>
      </w:r>
      <w:r w:rsidRPr="00355EF3">
        <w:rPr>
          <w:rFonts w:cs="Times New Roman"/>
          <w:i/>
          <w:szCs w:val="22"/>
        </w:rPr>
        <w:t>Working Paper</w:t>
      </w:r>
      <w:r w:rsidRPr="00355EF3">
        <w:rPr>
          <w:rFonts w:cs="Times New Roman"/>
          <w:szCs w:val="22"/>
        </w:rPr>
        <w:t>, Series wp2007n15, Melbourne Institute of Applied Economic and Social Research, the University of Melbourne, pp. 1-30.</w:t>
      </w:r>
    </w:p>
    <w:p w:rsidR="00353E94" w:rsidRPr="00355EF3" w:rsidRDefault="00353E94" w:rsidP="00353E94">
      <w:pPr>
        <w:ind w:left="706" w:hanging="706"/>
        <w:rPr>
          <w:rFonts w:cs="Times New Roman"/>
          <w:szCs w:val="22"/>
        </w:rPr>
      </w:pPr>
      <w:r w:rsidRPr="00355EF3">
        <w:rPr>
          <w:rFonts w:cs="Times New Roman"/>
          <w:szCs w:val="22"/>
        </w:rPr>
        <w:t xml:space="preserve">Kalb, G. and W.-S. Lee (2007). “Childcare Use and Parents’ Labour Supply in Australia", </w:t>
      </w:r>
      <w:r w:rsidRPr="00355EF3">
        <w:rPr>
          <w:rFonts w:cs="Times New Roman"/>
          <w:i/>
          <w:szCs w:val="22"/>
        </w:rPr>
        <w:t>Working Paper</w:t>
      </w:r>
      <w:r w:rsidRPr="00355EF3">
        <w:rPr>
          <w:rFonts w:cs="Times New Roman"/>
          <w:szCs w:val="22"/>
        </w:rPr>
        <w:t>, Series wp2007n13, Melbourne Institute of Applied Economic and Social Research, the University of Melbourne, pp. 1-33.</w:t>
      </w:r>
    </w:p>
    <w:p w:rsidR="002825C5" w:rsidRPr="00355EF3" w:rsidRDefault="002825C5" w:rsidP="002825C5">
      <w:pPr>
        <w:ind w:left="706" w:hanging="706"/>
        <w:rPr>
          <w:rFonts w:cs="Times New Roman"/>
          <w:color w:val="000000"/>
          <w:szCs w:val="22"/>
          <w:lang w:eastAsia="en-CA"/>
        </w:rPr>
      </w:pPr>
      <w:r w:rsidRPr="00355EF3">
        <w:rPr>
          <w:rFonts w:cs="Times New Roman"/>
          <w:color w:val="000000"/>
          <w:szCs w:val="22"/>
          <w:lang w:eastAsia="en-CA"/>
        </w:rPr>
        <w:t xml:space="preserve">Karoly, L.A. and J. H. Bigelow (2005). </w:t>
      </w:r>
      <w:r w:rsidRPr="00355EF3">
        <w:rPr>
          <w:rFonts w:cs="Times New Roman"/>
          <w:i/>
          <w:iCs/>
          <w:color w:val="000000"/>
          <w:szCs w:val="22"/>
          <w:lang w:eastAsia="en-CA"/>
        </w:rPr>
        <w:t>The Economics of Investing in Universal Preschool Education in California.</w:t>
      </w:r>
      <w:r w:rsidRPr="00355EF3">
        <w:rPr>
          <w:rFonts w:cs="Times New Roman"/>
          <w:color w:val="000000"/>
          <w:szCs w:val="22"/>
          <w:lang w:eastAsia="en-CA"/>
        </w:rPr>
        <w:t xml:space="preserve"> Arlington, VA: Rand Corporation.</w:t>
      </w:r>
    </w:p>
    <w:p w:rsidR="002825C5" w:rsidRPr="00355EF3" w:rsidRDefault="002825C5" w:rsidP="002825C5">
      <w:pPr>
        <w:ind w:left="706" w:hanging="706"/>
        <w:rPr>
          <w:rFonts w:cs="Times New Roman"/>
          <w:color w:val="000000"/>
          <w:szCs w:val="22"/>
          <w:lang w:eastAsia="en-CA"/>
        </w:rPr>
      </w:pPr>
      <w:r w:rsidRPr="00355EF3">
        <w:rPr>
          <w:rFonts w:cs="Times New Roman"/>
          <w:color w:val="000000"/>
          <w:szCs w:val="22"/>
          <w:lang w:eastAsia="en-CA"/>
        </w:rPr>
        <w:lastRenderedPageBreak/>
        <w:t xml:space="preserve">Karoly, L.A., R. Kilburn, J. Bigelow and J. Caulkins (2001). </w:t>
      </w:r>
      <w:r w:rsidRPr="00355EF3">
        <w:rPr>
          <w:rFonts w:cs="Times New Roman"/>
          <w:i/>
          <w:iCs/>
          <w:color w:val="000000"/>
          <w:szCs w:val="22"/>
          <w:lang w:eastAsia="en-CA"/>
        </w:rPr>
        <w:t>Assessing Costs and Benefits of Early Childhood Intervention Programs: Overview and Application to the Starting Early Starting Smart Program.</w:t>
      </w:r>
      <w:r w:rsidRPr="00355EF3">
        <w:rPr>
          <w:rFonts w:cs="Times New Roman"/>
          <w:color w:val="000000"/>
          <w:szCs w:val="22"/>
          <w:lang w:eastAsia="en-CA"/>
        </w:rPr>
        <w:t xml:space="preserve"> RAND Corporation.</w:t>
      </w:r>
    </w:p>
    <w:p w:rsidR="002825C5" w:rsidRPr="00355EF3" w:rsidRDefault="002825C5" w:rsidP="002825C5">
      <w:pPr>
        <w:ind w:left="706" w:hanging="706"/>
        <w:rPr>
          <w:rFonts w:cs="Times New Roman"/>
          <w:color w:val="000000"/>
          <w:szCs w:val="22"/>
          <w:lang w:eastAsia="en-CA"/>
        </w:rPr>
      </w:pPr>
      <w:bookmarkStart w:id="19" w:name="RANGE!G42"/>
      <w:r w:rsidRPr="00355EF3">
        <w:rPr>
          <w:rFonts w:cs="Times New Roman"/>
          <w:color w:val="000000"/>
          <w:szCs w:val="22"/>
          <w:lang w:eastAsia="en-CA"/>
        </w:rPr>
        <w:t>Kilburn M. R. and L. A. Karoly (2008). “The Economics of Early Childhood Policy: What the Dismal Science Has to Say About Investing in Children.” RAND Occasional Paper.</w:t>
      </w:r>
      <w:bookmarkEnd w:id="19"/>
    </w:p>
    <w:p w:rsidR="008F2188" w:rsidRPr="00355EF3" w:rsidRDefault="0046780D" w:rsidP="008F2188">
      <w:pPr>
        <w:ind w:left="706" w:hanging="706"/>
        <w:rPr>
          <w:rFonts w:cs="Times New Roman"/>
          <w:szCs w:val="22"/>
        </w:rPr>
      </w:pPr>
      <w:r w:rsidRPr="00355EF3">
        <w:rPr>
          <w:rFonts w:cs="Times New Roman"/>
          <w:szCs w:val="22"/>
        </w:rPr>
        <w:t>Kimmel, J.,</w:t>
      </w:r>
      <w:r w:rsidR="008F2188" w:rsidRPr="00355EF3">
        <w:rPr>
          <w:rFonts w:cs="Times New Roman"/>
          <w:szCs w:val="22"/>
        </w:rPr>
        <w:t xml:space="preserve"> (1998). </w:t>
      </w:r>
      <w:r w:rsidR="00254985" w:rsidRPr="00355EF3">
        <w:rPr>
          <w:rFonts w:cs="Times New Roman"/>
          <w:szCs w:val="22"/>
        </w:rPr>
        <w:t>“</w:t>
      </w:r>
      <w:r w:rsidR="008F2188" w:rsidRPr="00355EF3">
        <w:rPr>
          <w:rFonts w:cs="Times New Roman"/>
          <w:szCs w:val="22"/>
        </w:rPr>
        <w:t xml:space="preserve">Child Care Costs As A Barrier to Employment For Single and Married Mothers", </w:t>
      </w:r>
      <w:r w:rsidR="008F2188" w:rsidRPr="00355EF3">
        <w:rPr>
          <w:rFonts w:cs="Times New Roman"/>
          <w:i/>
          <w:szCs w:val="22"/>
        </w:rPr>
        <w:t>The Review of Economics and Statistics</w:t>
      </w:r>
      <w:r w:rsidR="008F2188" w:rsidRPr="00355EF3">
        <w:rPr>
          <w:rFonts w:cs="Times New Roman"/>
          <w:szCs w:val="22"/>
        </w:rPr>
        <w:t>, 80(2), pp. 287-299.</w:t>
      </w:r>
    </w:p>
    <w:p w:rsidR="008F2188" w:rsidRPr="00355EF3" w:rsidRDefault="00942498" w:rsidP="008F2188">
      <w:pPr>
        <w:ind w:left="706" w:hanging="706"/>
        <w:rPr>
          <w:rFonts w:cs="Times New Roman"/>
          <w:szCs w:val="22"/>
        </w:rPr>
      </w:pPr>
      <w:r w:rsidRPr="00355EF3">
        <w:rPr>
          <w:rFonts w:cs="Times New Roman"/>
          <w:szCs w:val="22"/>
        </w:rPr>
        <w:t>Kimmel, J.</w:t>
      </w:r>
      <w:r w:rsidR="008F2188" w:rsidRPr="00355EF3">
        <w:rPr>
          <w:rFonts w:cs="Times New Roman"/>
          <w:szCs w:val="22"/>
        </w:rPr>
        <w:t xml:space="preserve"> and </w:t>
      </w:r>
      <w:r w:rsidR="0046780D" w:rsidRPr="00355EF3">
        <w:rPr>
          <w:rFonts w:cs="Times New Roman"/>
          <w:szCs w:val="22"/>
        </w:rPr>
        <w:t>E. P.</w:t>
      </w:r>
      <w:r w:rsidR="008F2188" w:rsidRPr="00355EF3">
        <w:rPr>
          <w:rFonts w:cs="Times New Roman"/>
          <w:szCs w:val="22"/>
        </w:rPr>
        <w:t>Hoffman, (2002). “The Economics of Work and Family”, Kalamazoo, Mich.: W.E. Upjohn Institute For Employment Research.</w:t>
      </w:r>
    </w:p>
    <w:p w:rsidR="002825C5" w:rsidRPr="00355EF3" w:rsidRDefault="008F2188" w:rsidP="002825C5">
      <w:pPr>
        <w:ind w:left="706" w:hanging="706"/>
        <w:rPr>
          <w:rFonts w:cs="Times New Roman"/>
          <w:szCs w:val="22"/>
        </w:rPr>
      </w:pPr>
      <w:r w:rsidRPr="00355EF3">
        <w:rPr>
          <w:rFonts w:cs="Times New Roman"/>
          <w:szCs w:val="22"/>
        </w:rPr>
        <w:t>Kreyenfeld, M</w:t>
      </w:r>
      <w:r w:rsidR="0046780D" w:rsidRPr="00355EF3">
        <w:rPr>
          <w:rFonts w:cs="Times New Roman"/>
          <w:szCs w:val="22"/>
        </w:rPr>
        <w:t>.</w:t>
      </w:r>
      <w:r w:rsidRPr="00355EF3">
        <w:rPr>
          <w:rFonts w:cs="Times New Roman"/>
          <w:szCs w:val="22"/>
        </w:rPr>
        <w:t xml:space="preserve"> and K</w:t>
      </w:r>
      <w:r w:rsidR="0046780D" w:rsidRPr="00355EF3">
        <w:rPr>
          <w:rFonts w:cs="Times New Roman"/>
          <w:szCs w:val="22"/>
        </w:rPr>
        <w:t>.</w:t>
      </w:r>
      <w:r w:rsidRPr="00355EF3">
        <w:rPr>
          <w:rFonts w:cs="Times New Roman"/>
          <w:szCs w:val="22"/>
        </w:rPr>
        <w:t xml:space="preserve"> Hank (1999). </w:t>
      </w:r>
      <w:r w:rsidR="00C62FEF" w:rsidRPr="00355EF3">
        <w:rPr>
          <w:rFonts w:cs="Times New Roman"/>
          <w:szCs w:val="22"/>
        </w:rPr>
        <w:t>“</w:t>
      </w:r>
      <w:r w:rsidRPr="00355EF3">
        <w:rPr>
          <w:rFonts w:cs="Times New Roman"/>
          <w:szCs w:val="22"/>
        </w:rPr>
        <w:t>The Availability of Child Care and Mothers' Employment in West Germany</w:t>
      </w:r>
      <w:r w:rsidR="00C62FEF" w:rsidRPr="00355EF3">
        <w:rPr>
          <w:rFonts w:cs="Times New Roman"/>
          <w:szCs w:val="22"/>
        </w:rPr>
        <w:t>”</w:t>
      </w:r>
      <w:r w:rsidRPr="00355EF3">
        <w:rPr>
          <w:rFonts w:cs="Times New Roman"/>
          <w:szCs w:val="22"/>
        </w:rPr>
        <w:t xml:space="preserve">, </w:t>
      </w:r>
      <w:r w:rsidRPr="00355EF3">
        <w:rPr>
          <w:rFonts w:cs="Times New Roman"/>
          <w:i/>
          <w:szCs w:val="22"/>
        </w:rPr>
        <w:t>Discussion Papers</w:t>
      </w:r>
      <w:r w:rsidRPr="00355EF3">
        <w:rPr>
          <w:rFonts w:cs="Times New Roman"/>
          <w:szCs w:val="22"/>
        </w:rPr>
        <w:t>, DIW Berlin 191, German Institute for Economic Research, pp. 1-23.</w:t>
      </w:r>
    </w:p>
    <w:p w:rsidR="009F66D1" w:rsidRPr="00355EF3" w:rsidRDefault="009F66D1" w:rsidP="002825C5">
      <w:pPr>
        <w:ind w:left="706" w:hanging="706"/>
        <w:rPr>
          <w:rFonts w:cs="Times New Roman"/>
          <w:color w:val="000000"/>
          <w:szCs w:val="22"/>
          <w:lang w:eastAsia="en-CA"/>
        </w:rPr>
      </w:pPr>
      <w:r w:rsidRPr="00355EF3">
        <w:rPr>
          <w:rFonts w:cs="Times New Roman"/>
          <w:color w:val="000000"/>
          <w:szCs w:val="22"/>
          <w:lang w:eastAsia="en-CA"/>
        </w:rPr>
        <w:t xml:space="preserve">Lally, J., P. Mangione and A. Honig (1988). “The Syracuse University Family Development Program: Long-range impact of an early intervention with low-income children and their families.” </w:t>
      </w:r>
      <w:r w:rsidRPr="00355EF3">
        <w:rPr>
          <w:rFonts w:cs="Times New Roman"/>
          <w:i/>
          <w:iCs/>
          <w:color w:val="000000"/>
          <w:szCs w:val="22"/>
          <w:lang w:eastAsia="en-CA"/>
        </w:rPr>
        <w:t>In Parent education as early childhood intervention: Emerging directions theory research and practice</w:t>
      </w:r>
      <w:r w:rsidRPr="00355EF3">
        <w:rPr>
          <w:rFonts w:cs="Times New Roman"/>
          <w:color w:val="000000"/>
          <w:szCs w:val="22"/>
          <w:lang w:eastAsia="en-CA"/>
        </w:rPr>
        <w:t>, D. Powell (Ed.), Norwood, NJ: Ablex.</w:t>
      </w:r>
    </w:p>
    <w:p w:rsidR="002825C5" w:rsidRPr="00355EF3" w:rsidRDefault="00C60E8D" w:rsidP="002825C5">
      <w:pPr>
        <w:ind w:left="709" w:hanging="709"/>
        <w:rPr>
          <w:rFonts w:cs="Times New Roman"/>
          <w:szCs w:val="22"/>
        </w:rPr>
      </w:pPr>
      <w:r w:rsidRPr="00355EF3">
        <w:rPr>
          <w:rFonts w:cs="Times New Roman"/>
          <w:szCs w:val="22"/>
        </w:rPr>
        <w:t xml:space="preserve">Lefebvre, P., </w:t>
      </w:r>
      <w:r w:rsidR="00820697" w:rsidRPr="00355EF3">
        <w:rPr>
          <w:rFonts w:cs="Times New Roman"/>
          <w:szCs w:val="22"/>
        </w:rPr>
        <w:t xml:space="preserve">P. </w:t>
      </w:r>
      <w:r w:rsidRPr="00355EF3">
        <w:rPr>
          <w:rFonts w:cs="Times New Roman"/>
          <w:szCs w:val="22"/>
        </w:rPr>
        <w:t>Merrig</w:t>
      </w:r>
      <w:r w:rsidR="00820697" w:rsidRPr="00355EF3">
        <w:rPr>
          <w:rFonts w:cs="Times New Roman"/>
          <w:szCs w:val="22"/>
        </w:rPr>
        <w:t>an</w:t>
      </w:r>
      <w:r w:rsidRPr="00355EF3">
        <w:rPr>
          <w:rFonts w:cs="Times New Roman"/>
          <w:szCs w:val="22"/>
        </w:rPr>
        <w:t xml:space="preserve"> and </w:t>
      </w:r>
      <w:r w:rsidR="00820697" w:rsidRPr="00355EF3">
        <w:rPr>
          <w:rFonts w:cs="Times New Roman"/>
          <w:szCs w:val="22"/>
        </w:rPr>
        <w:t xml:space="preserve">M. </w:t>
      </w:r>
      <w:r w:rsidRPr="00355EF3">
        <w:rPr>
          <w:rFonts w:cs="Times New Roman"/>
          <w:szCs w:val="22"/>
        </w:rPr>
        <w:t>Verstraete</w:t>
      </w:r>
      <w:r w:rsidR="00820697" w:rsidRPr="00355EF3">
        <w:rPr>
          <w:rFonts w:cs="Times New Roman"/>
          <w:szCs w:val="22"/>
        </w:rPr>
        <w:t>,</w:t>
      </w:r>
      <w:r w:rsidRPr="00355EF3">
        <w:rPr>
          <w:rFonts w:cs="Times New Roman"/>
          <w:szCs w:val="22"/>
        </w:rPr>
        <w:t xml:space="preserve"> (200</w:t>
      </w:r>
      <w:r w:rsidR="00A50FC8" w:rsidRPr="00355EF3">
        <w:rPr>
          <w:rFonts w:cs="Times New Roman"/>
          <w:szCs w:val="22"/>
        </w:rPr>
        <w:t>9</w:t>
      </w:r>
      <w:r w:rsidRPr="00355EF3">
        <w:rPr>
          <w:rFonts w:cs="Times New Roman"/>
          <w:szCs w:val="22"/>
        </w:rPr>
        <w:t xml:space="preserve">), “Dynamic Labour Supply Effects of Child care Subsidies: Evidence from a Canadian Natural Experiment on Low-Fee Universal Child Care”, </w:t>
      </w:r>
      <w:r w:rsidRPr="00355EF3">
        <w:rPr>
          <w:rFonts w:cs="Times New Roman"/>
          <w:i/>
          <w:szCs w:val="22"/>
        </w:rPr>
        <w:t>Labo</w:t>
      </w:r>
      <w:r w:rsidR="00A50FC8" w:rsidRPr="00355EF3">
        <w:rPr>
          <w:rFonts w:cs="Times New Roman"/>
          <w:i/>
          <w:szCs w:val="22"/>
        </w:rPr>
        <w:t>u</w:t>
      </w:r>
      <w:r w:rsidRPr="00355EF3">
        <w:rPr>
          <w:rFonts w:cs="Times New Roman"/>
          <w:i/>
          <w:szCs w:val="22"/>
        </w:rPr>
        <w:t>r Economics</w:t>
      </w:r>
      <w:r w:rsidR="00355EF3" w:rsidRPr="00355EF3">
        <w:rPr>
          <w:rFonts w:cs="Times New Roman"/>
          <w:szCs w:val="22"/>
        </w:rPr>
        <w:t>, 16(5),</w:t>
      </w:r>
      <w:r w:rsidR="00A50FC8" w:rsidRPr="00355EF3">
        <w:rPr>
          <w:rFonts w:cs="Times New Roman"/>
          <w:szCs w:val="22"/>
        </w:rPr>
        <w:t xml:space="preserve"> </w:t>
      </w:r>
      <w:r w:rsidR="00355EF3" w:rsidRPr="00355EF3">
        <w:rPr>
          <w:rFonts w:cs="Times New Roman"/>
          <w:color w:val="000000"/>
          <w:szCs w:val="22"/>
          <w:lang w:eastAsia="en-CA"/>
        </w:rPr>
        <w:t xml:space="preserve">pp. </w:t>
      </w:r>
      <w:r w:rsidR="00A50FC8" w:rsidRPr="00355EF3">
        <w:rPr>
          <w:rFonts w:cs="Times New Roman"/>
          <w:szCs w:val="22"/>
        </w:rPr>
        <w:t>490-502.</w:t>
      </w:r>
    </w:p>
    <w:p w:rsidR="002825C5" w:rsidRPr="00355EF3" w:rsidRDefault="002825C5" w:rsidP="002825C5">
      <w:pPr>
        <w:ind w:left="709" w:hanging="709"/>
        <w:rPr>
          <w:rFonts w:cs="Times New Roman"/>
          <w:szCs w:val="22"/>
        </w:rPr>
      </w:pPr>
      <w:r w:rsidRPr="00355EF3">
        <w:rPr>
          <w:rFonts w:cs="Times New Roman"/>
          <w:szCs w:val="22"/>
        </w:rPr>
        <w:t xml:space="preserve">Lefebvre, P. and P. Merrigan, (2008), “Child care Policy and the Labor Supply of Mothers with Young Children: A Natural Experiment from Canada”, </w:t>
      </w:r>
      <w:r w:rsidRPr="00355EF3">
        <w:rPr>
          <w:rFonts w:cs="Times New Roman"/>
          <w:i/>
          <w:iCs/>
          <w:szCs w:val="22"/>
        </w:rPr>
        <w:t>Journal of Labor Economics</w:t>
      </w:r>
      <w:r w:rsidR="00353E94" w:rsidRPr="00355EF3">
        <w:rPr>
          <w:rFonts w:cs="Times New Roman"/>
          <w:szCs w:val="22"/>
        </w:rPr>
        <w:t>, 23(3)</w:t>
      </w:r>
      <w:r w:rsidR="00355EF3" w:rsidRPr="00355EF3">
        <w:rPr>
          <w:rFonts w:cs="Times New Roman"/>
          <w:szCs w:val="22"/>
        </w:rPr>
        <w:t xml:space="preserve">, </w:t>
      </w:r>
      <w:r w:rsidR="00355EF3" w:rsidRPr="00355EF3">
        <w:rPr>
          <w:rFonts w:cs="Times New Roman"/>
          <w:color w:val="000000"/>
          <w:szCs w:val="22"/>
          <w:lang w:eastAsia="en-CA"/>
        </w:rPr>
        <w:t>pp.</w:t>
      </w:r>
      <w:r w:rsidR="00353E94" w:rsidRPr="00355EF3">
        <w:rPr>
          <w:rFonts w:cs="Times New Roman"/>
          <w:szCs w:val="22"/>
        </w:rPr>
        <w:t xml:space="preserve"> 519-548</w:t>
      </w:r>
      <w:r w:rsidRPr="00355EF3">
        <w:rPr>
          <w:rFonts w:cs="Times New Roman"/>
          <w:szCs w:val="22"/>
        </w:rPr>
        <w:t>.</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Leuven, E., M. Lindahl, H. Oosterbeek and D. Webbink (2004). “New Evidence on the Effect of Time in School on Early Achievement.” </w:t>
      </w:r>
      <w:r w:rsidRPr="00355EF3">
        <w:rPr>
          <w:rFonts w:cs="Times New Roman"/>
          <w:i/>
          <w:iCs/>
          <w:color w:val="000000"/>
          <w:szCs w:val="22"/>
          <w:lang w:eastAsia="en-CA"/>
        </w:rPr>
        <w:t>Scholar Working Paper,</w:t>
      </w:r>
      <w:r w:rsidRPr="00355EF3">
        <w:rPr>
          <w:rFonts w:cs="Times New Roman"/>
          <w:color w:val="000000"/>
          <w:szCs w:val="22"/>
          <w:lang w:eastAsia="en-CA"/>
        </w:rPr>
        <w:t xml:space="preserve"> 47/04, pp. 1-25.</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Levin, H. and H. Schwartz (2007). “Educational vouchers for universal pre-schools.” </w:t>
      </w:r>
      <w:r w:rsidRPr="00355EF3">
        <w:rPr>
          <w:rFonts w:cs="Times New Roman"/>
          <w:i/>
          <w:iCs/>
          <w:color w:val="000000"/>
          <w:szCs w:val="22"/>
          <w:lang w:eastAsia="en-CA"/>
        </w:rPr>
        <w:t>Economics of Education Review</w:t>
      </w:r>
      <w:r w:rsidRPr="00355EF3">
        <w:rPr>
          <w:rFonts w:cs="Times New Roman"/>
          <w:color w:val="000000"/>
          <w:szCs w:val="22"/>
          <w:lang w:eastAsia="en-CA"/>
        </w:rPr>
        <w:t xml:space="preserve">, 26(1), </w:t>
      </w:r>
      <w:r w:rsidR="00355EF3" w:rsidRPr="00355EF3">
        <w:rPr>
          <w:rFonts w:cs="Times New Roman"/>
          <w:color w:val="000000"/>
          <w:szCs w:val="22"/>
          <w:lang w:eastAsia="en-CA"/>
        </w:rPr>
        <w:t>pp.</w:t>
      </w:r>
      <w:r w:rsidRPr="00355EF3">
        <w:rPr>
          <w:rFonts w:cs="Times New Roman"/>
          <w:color w:val="000000"/>
          <w:szCs w:val="22"/>
          <w:lang w:eastAsia="en-CA"/>
        </w:rPr>
        <w:t xml:space="preserve"> 3-16.</w:t>
      </w:r>
    </w:p>
    <w:p w:rsidR="002825C5" w:rsidRPr="00355EF3" w:rsidRDefault="002825C5" w:rsidP="002825C5">
      <w:pPr>
        <w:ind w:left="709" w:hanging="709"/>
        <w:rPr>
          <w:rFonts w:cs="Times New Roman"/>
          <w:szCs w:val="22"/>
        </w:rPr>
      </w:pPr>
      <w:r w:rsidRPr="00355EF3">
        <w:rPr>
          <w:rFonts w:cs="Times New Roman"/>
          <w:szCs w:val="22"/>
        </w:rPr>
        <w:t>Liu, Z., R. Ribeiro and M. Warner, (2004). “Comparing Child Care Multipliers In the Regional Economy:  Analysis From 50 States”, Cornell University Linking Economic Development and Child Care Research Project.</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Loeb, S., M. Bridges, D. Bassok, B. Fuller and R. W. Rumberger (2007). “How much is too much? The influence of preschool centers on children's social and cognitive development.” </w:t>
      </w:r>
      <w:r w:rsidRPr="00355EF3">
        <w:rPr>
          <w:rFonts w:cs="Times New Roman"/>
          <w:i/>
          <w:iCs/>
          <w:color w:val="000000"/>
          <w:szCs w:val="22"/>
          <w:lang w:eastAsia="en-CA"/>
        </w:rPr>
        <w:t>Economics of Education Review</w:t>
      </w:r>
      <w:r w:rsidRPr="00355EF3">
        <w:rPr>
          <w:rFonts w:cs="Times New Roman"/>
          <w:color w:val="000000"/>
          <w:szCs w:val="22"/>
          <w:lang w:eastAsia="en-CA"/>
        </w:rPr>
        <w:t>, 26(1), pp. 52-66.</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Love J., L. Harrison, A. Sagi-Schwartz, M. van Ijzendoorn, C. Ross, J. Ungerer, H. Raikes, C. Brady-Smith, K. Boller, J. Brooks-Gunn, J. Constantine, E. Eliason Kisker, D. Paulsell, R. Chazan-Cohen (2003). “Child care quality matters: How conclusions may vary with context.” </w:t>
      </w:r>
      <w:r w:rsidRPr="00355EF3">
        <w:rPr>
          <w:rFonts w:cs="Times New Roman"/>
          <w:i/>
          <w:iCs/>
          <w:color w:val="000000"/>
          <w:szCs w:val="22"/>
          <w:lang w:eastAsia="en-CA"/>
        </w:rPr>
        <w:t>Child Development</w:t>
      </w:r>
      <w:r w:rsidRPr="00355EF3">
        <w:rPr>
          <w:rFonts w:cs="Times New Roman"/>
          <w:color w:val="000000"/>
          <w:szCs w:val="22"/>
          <w:lang w:eastAsia="en-CA"/>
        </w:rPr>
        <w:t>, 74(4), pp. 1021-1033.</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McCain, M., J. F. Mustard and S. Shanker (2007). </w:t>
      </w:r>
      <w:r w:rsidRPr="00355EF3">
        <w:rPr>
          <w:rFonts w:cs="Times New Roman"/>
          <w:i/>
          <w:iCs/>
          <w:color w:val="000000"/>
          <w:szCs w:val="22"/>
          <w:lang w:eastAsia="en-CA"/>
        </w:rPr>
        <w:t>Early years study 2--Putting science into action</w:t>
      </w:r>
      <w:r w:rsidRPr="00355EF3">
        <w:rPr>
          <w:rFonts w:cs="Times New Roman"/>
          <w:color w:val="000000"/>
          <w:szCs w:val="22"/>
          <w:lang w:eastAsia="en-CA"/>
        </w:rPr>
        <w:t>. Toronto, ON: Council for Early Child Development.</w:t>
      </w:r>
    </w:p>
    <w:p w:rsidR="002825C5" w:rsidRPr="00355EF3" w:rsidRDefault="002825C5" w:rsidP="002825C5">
      <w:pPr>
        <w:ind w:left="709" w:hanging="709"/>
        <w:rPr>
          <w:rFonts w:cs="Times New Roman"/>
          <w:color w:val="000000"/>
          <w:szCs w:val="22"/>
          <w:lang w:eastAsia="en-CA"/>
        </w:rPr>
      </w:pPr>
      <w:r w:rsidRPr="00355EF3">
        <w:rPr>
          <w:rFonts w:cs="Times New Roman"/>
          <w:color w:val="000000"/>
          <w:szCs w:val="22"/>
          <w:lang w:eastAsia="en-CA"/>
        </w:rPr>
        <w:t xml:space="preserve">McKay H, L. Sinisterra, A. McKay, H. Gomez, and P. Lloreda (1978). “Improving cognitive ability in chronically deprived children.” </w:t>
      </w:r>
      <w:r w:rsidRPr="00355EF3">
        <w:rPr>
          <w:rFonts w:cs="Times New Roman"/>
          <w:i/>
          <w:iCs/>
          <w:color w:val="000000"/>
          <w:szCs w:val="22"/>
          <w:lang w:eastAsia="en-CA"/>
        </w:rPr>
        <w:t>Science</w:t>
      </w:r>
      <w:r w:rsidRPr="00355EF3">
        <w:rPr>
          <w:rFonts w:cs="Times New Roman"/>
          <w:color w:val="000000"/>
          <w:szCs w:val="22"/>
          <w:lang w:eastAsia="en-CA"/>
        </w:rPr>
        <w:t>, 200(4339), pp. 270-278.</w:t>
      </w:r>
    </w:p>
    <w:p w:rsidR="002825C5" w:rsidRPr="00355EF3" w:rsidRDefault="002825C5" w:rsidP="00842E95">
      <w:pPr>
        <w:ind w:left="709" w:hanging="709"/>
        <w:rPr>
          <w:rFonts w:cs="Times New Roman"/>
          <w:color w:val="000000"/>
          <w:szCs w:val="22"/>
          <w:lang w:eastAsia="en-CA"/>
        </w:rPr>
      </w:pPr>
      <w:r w:rsidRPr="00355EF3">
        <w:rPr>
          <w:rFonts w:cs="Times New Roman"/>
          <w:color w:val="000000"/>
          <w:szCs w:val="22"/>
          <w:lang w:eastAsia="en-CA"/>
        </w:rPr>
        <w:t xml:space="preserve">Magnuson, K. A., C. Ruhm and J. Waldfogel (2005). “Does prekindergarten improve school preparation and performance?” </w:t>
      </w:r>
      <w:r w:rsidRPr="00355EF3">
        <w:rPr>
          <w:rFonts w:cs="Times New Roman"/>
          <w:i/>
          <w:iCs/>
          <w:color w:val="000000"/>
          <w:szCs w:val="22"/>
          <w:lang w:eastAsia="en-CA"/>
        </w:rPr>
        <w:t>Economics of Education Review</w:t>
      </w:r>
      <w:r w:rsidRPr="00355EF3">
        <w:rPr>
          <w:rFonts w:cs="Times New Roman"/>
          <w:color w:val="000000"/>
          <w:szCs w:val="22"/>
          <w:lang w:eastAsia="en-CA"/>
        </w:rPr>
        <w:t>, 26(1), pp. 33-51.</w:t>
      </w:r>
    </w:p>
    <w:p w:rsidR="00842E95" w:rsidRPr="00355EF3" w:rsidRDefault="00842E95" w:rsidP="00842E95">
      <w:pPr>
        <w:ind w:left="709" w:hanging="709"/>
        <w:rPr>
          <w:rFonts w:cs="Times New Roman"/>
          <w:color w:val="000000"/>
          <w:szCs w:val="22"/>
          <w:lang w:eastAsia="en-CA"/>
        </w:rPr>
      </w:pPr>
      <w:r w:rsidRPr="00355EF3">
        <w:rPr>
          <w:rFonts w:cs="Times New Roman"/>
          <w:color w:val="000000"/>
          <w:szCs w:val="22"/>
          <w:lang w:eastAsia="en-CA"/>
        </w:rPr>
        <w:t>Masse L</w:t>
      </w:r>
      <w:r w:rsidR="00643482" w:rsidRPr="00355EF3">
        <w:rPr>
          <w:rFonts w:cs="Times New Roman"/>
          <w:color w:val="000000"/>
          <w:szCs w:val="22"/>
          <w:lang w:eastAsia="en-CA"/>
        </w:rPr>
        <w:t>. and</w:t>
      </w:r>
      <w:r w:rsidRPr="00355EF3">
        <w:rPr>
          <w:rFonts w:cs="Times New Roman"/>
          <w:color w:val="000000"/>
          <w:szCs w:val="22"/>
          <w:lang w:eastAsia="en-CA"/>
        </w:rPr>
        <w:t xml:space="preserve"> </w:t>
      </w:r>
      <w:r w:rsidR="002825C5" w:rsidRPr="00355EF3">
        <w:rPr>
          <w:rFonts w:cs="Times New Roman"/>
          <w:color w:val="000000"/>
          <w:szCs w:val="22"/>
          <w:lang w:eastAsia="en-CA"/>
        </w:rPr>
        <w:t>W.</w:t>
      </w:r>
      <w:r w:rsidR="00643482" w:rsidRPr="00355EF3">
        <w:rPr>
          <w:rFonts w:cs="Times New Roman"/>
          <w:color w:val="000000"/>
          <w:szCs w:val="22"/>
          <w:lang w:eastAsia="en-CA"/>
        </w:rPr>
        <w:t xml:space="preserve">S. </w:t>
      </w:r>
      <w:r w:rsidRPr="00355EF3">
        <w:rPr>
          <w:rFonts w:cs="Times New Roman"/>
          <w:color w:val="000000"/>
          <w:szCs w:val="22"/>
          <w:lang w:eastAsia="en-CA"/>
        </w:rPr>
        <w:t>Barnett</w:t>
      </w:r>
      <w:r w:rsidR="00643482" w:rsidRPr="00355EF3">
        <w:rPr>
          <w:rFonts w:cs="Times New Roman"/>
          <w:color w:val="000000"/>
          <w:szCs w:val="22"/>
          <w:lang w:eastAsia="en-CA"/>
        </w:rPr>
        <w:t>, (2002)</w:t>
      </w:r>
      <w:r w:rsidRPr="00355EF3">
        <w:rPr>
          <w:rFonts w:cs="Times New Roman"/>
          <w:color w:val="000000"/>
          <w:szCs w:val="22"/>
          <w:lang w:eastAsia="en-CA"/>
        </w:rPr>
        <w:t xml:space="preserve">. </w:t>
      </w:r>
      <w:r w:rsidR="00643482" w:rsidRPr="00355EF3">
        <w:rPr>
          <w:rFonts w:cs="Times New Roman"/>
          <w:szCs w:val="22"/>
        </w:rPr>
        <w:t>“</w:t>
      </w:r>
      <w:r w:rsidRPr="00355EF3">
        <w:rPr>
          <w:rFonts w:cs="Times New Roman"/>
          <w:color w:val="000000"/>
          <w:szCs w:val="22"/>
          <w:lang w:eastAsia="en-CA"/>
        </w:rPr>
        <w:t>A benefit-cost analysis of the Abecedarian early childhood intervention</w:t>
      </w:r>
      <w:r w:rsidR="00643482" w:rsidRPr="00355EF3">
        <w:rPr>
          <w:rFonts w:cs="Times New Roman"/>
          <w:szCs w:val="22"/>
        </w:rPr>
        <w:t>”</w:t>
      </w:r>
      <w:r w:rsidRPr="00355EF3">
        <w:rPr>
          <w:rFonts w:cs="Times New Roman"/>
          <w:color w:val="000000"/>
          <w:szCs w:val="22"/>
          <w:lang w:eastAsia="en-CA"/>
        </w:rPr>
        <w:t xml:space="preserve">. National Institute for Early Education Research (NIEER) Web site. Available at: http://nieer.org/resources/research/AbecedarianStudy.pdf. </w:t>
      </w:r>
    </w:p>
    <w:p w:rsidR="008F2188" w:rsidRPr="00355EF3" w:rsidRDefault="00985814" w:rsidP="008F2188">
      <w:pPr>
        <w:ind w:left="706" w:hanging="706"/>
        <w:rPr>
          <w:rFonts w:cs="Times New Roman"/>
          <w:szCs w:val="22"/>
        </w:rPr>
      </w:pPr>
      <w:r w:rsidRPr="00355EF3">
        <w:rPr>
          <w:rFonts w:cs="Times New Roman"/>
          <w:szCs w:val="22"/>
        </w:rPr>
        <w:lastRenderedPageBreak/>
        <w:t>Michalopoulos, C. and P.</w:t>
      </w:r>
      <w:r w:rsidR="008F2188" w:rsidRPr="00355EF3">
        <w:rPr>
          <w:rFonts w:cs="Times New Roman"/>
          <w:szCs w:val="22"/>
        </w:rPr>
        <w:t xml:space="preserve"> K. Robins</w:t>
      </w:r>
      <w:r w:rsidRPr="00355EF3">
        <w:rPr>
          <w:rFonts w:cs="Times New Roman"/>
          <w:szCs w:val="22"/>
        </w:rPr>
        <w:t>,</w:t>
      </w:r>
      <w:r w:rsidR="008F2188" w:rsidRPr="00355EF3">
        <w:rPr>
          <w:rFonts w:cs="Times New Roman"/>
          <w:szCs w:val="22"/>
        </w:rPr>
        <w:t xml:space="preserve"> (2000). </w:t>
      </w:r>
      <w:r w:rsidR="00254985" w:rsidRPr="00355EF3">
        <w:rPr>
          <w:rFonts w:cs="Times New Roman"/>
          <w:szCs w:val="22"/>
        </w:rPr>
        <w:t>“</w:t>
      </w:r>
      <w:r w:rsidR="008F2188" w:rsidRPr="00355EF3">
        <w:rPr>
          <w:rFonts w:cs="Times New Roman"/>
          <w:szCs w:val="22"/>
        </w:rPr>
        <w:t>Employment and Child Care Choices in Canada and the United States</w:t>
      </w:r>
      <w:r w:rsidR="00254985" w:rsidRPr="00355EF3">
        <w:rPr>
          <w:rFonts w:cs="Times New Roman"/>
          <w:szCs w:val="22"/>
        </w:rPr>
        <w:t>”</w:t>
      </w:r>
      <w:r w:rsidR="008F2188" w:rsidRPr="00355EF3">
        <w:rPr>
          <w:rFonts w:cs="Times New Roman"/>
          <w:szCs w:val="22"/>
        </w:rPr>
        <w:t xml:space="preserve">, </w:t>
      </w:r>
      <w:r w:rsidR="008F2188" w:rsidRPr="00355EF3">
        <w:rPr>
          <w:rFonts w:cs="Times New Roman"/>
          <w:i/>
          <w:szCs w:val="22"/>
        </w:rPr>
        <w:t>The Canadian Journal of Economics</w:t>
      </w:r>
      <w:r w:rsidR="008F2188" w:rsidRPr="00355EF3">
        <w:rPr>
          <w:rFonts w:cs="Times New Roman"/>
          <w:szCs w:val="22"/>
        </w:rPr>
        <w:t>, 33(2), pp. 435-470.</w:t>
      </w:r>
    </w:p>
    <w:p w:rsidR="00942498" w:rsidRPr="00355EF3" w:rsidRDefault="008F2188" w:rsidP="00942498">
      <w:pPr>
        <w:ind w:left="706" w:hanging="706"/>
        <w:rPr>
          <w:rFonts w:cs="Times New Roman"/>
          <w:szCs w:val="22"/>
        </w:rPr>
      </w:pPr>
      <w:r w:rsidRPr="00355EF3">
        <w:rPr>
          <w:rFonts w:cs="Times New Roman"/>
          <w:szCs w:val="22"/>
        </w:rPr>
        <w:t xml:space="preserve">Michalopoulos, C. and </w:t>
      </w:r>
      <w:r w:rsidR="00942498" w:rsidRPr="00355EF3">
        <w:rPr>
          <w:rFonts w:cs="Times New Roman"/>
          <w:szCs w:val="22"/>
        </w:rPr>
        <w:t xml:space="preserve">P.K. </w:t>
      </w:r>
      <w:r w:rsidRPr="00355EF3">
        <w:rPr>
          <w:rFonts w:cs="Times New Roman"/>
          <w:szCs w:val="22"/>
        </w:rPr>
        <w:t xml:space="preserve">Robins, (2002). “Employment and Child-Care Choices of Single-Parent Families in Canada and the United States”, </w:t>
      </w:r>
      <w:r w:rsidRPr="00355EF3">
        <w:rPr>
          <w:rFonts w:cs="Times New Roman"/>
          <w:i/>
          <w:szCs w:val="22"/>
        </w:rPr>
        <w:t>Journal of Population Economics</w:t>
      </w:r>
      <w:r w:rsidRPr="00355EF3">
        <w:rPr>
          <w:rFonts w:cs="Times New Roman"/>
          <w:szCs w:val="22"/>
        </w:rPr>
        <w:t>, 15, pp. 465–93.</w:t>
      </w:r>
      <w:r w:rsidR="00942498" w:rsidRPr="00355EF3">
        <w:rPr>
          <w:rFonts w:cs="Times New Roman"/>
          <w:szCs w:val="22"/>
        </w:rPr>
        <w:t xml:space="preserve"> </w:t>
      </w:r>
    </w:p>
    <w:p w:rsidR="002825C5" w:rsidRPr="00355EF3" w:rsidRDefault="00942498" w:rsidP="00942498">
      <w:pPr>
        <w:ind w:left="706" w:hanging="706"/>
        <w:rPr>
          <w:rFonts w:cs="Times New Roman"/>
          <w:szCs w:val="22"/>
        </w:rPr>
      </w:pPr>
      <w:r w:rsidRPr="00355EF3">
        <w:rPr>
          <w:rFonts w:cs="Times New Roman"/>
          <w:szCs w:val="22"/>
        </w:rPr>
        <w:t xml:space="preserve">Michalopoulos, C., P. K. Robins and I. Garfinkel, (1992). “A Structural Model of Labor Supply and Child Care Demand”, </w:t>
      </w:r>
      <w:r w:rsidRPr="00355EF3">
        <w:rPr>
          <w:rFonts w:cs="Times New Roman"/>
          <w:i/>
          <w:szCs w:val="22"/>
        </w:rPr>
        <w:t>The Journal of Human Resources</w:t>
      </w:r>
      <w:r w:rsidRPr="00355EF3">
        <w:rPr>
          <w:rFonts w:cs="Times New Roman"/>
          <w:szCs w:val="22"/>
        </w:rPr>
        <w:t>, 27(1), Special Issue on Child Care, pp. 166-203</w:t>
      </w:r>
      <w:r w:rsidR="00BC6A52" w:rsidRPr="00355EF3">
        <w:rPr>
          <w:rFonts w:cs="Times New Roman"/>
          <w:szCs w:val="22"/>
        </w:rPr>
        <w:t xml:space="preserve">. </w:t>
      </w:r>
      <w:r w:rsidRPr="00355EF3">
        <w:rPr>
          <w:rFonts w:cs="Times New Roman"/>
          <w:szCs w:val="22"/>
        </w:rPr>
        <w:t xml:space="preserve"> </w:t>
      </w:r>
    </w:p>
    <w:p w:rsidR="00942498" w:rsidRPr="00355EF3" w:rsidRDefault="002825C5" w:rsidP="00942498">
      <w:pPr>
        <w:ind w:left="706" w:hanging="706"/>
        <w:rPr>
          <w:rFonts w:cs="Times New Roman"/>
          <w:szCs w:val="22"/>
        </w:rPr>
      </w:pPr>
      <w:r w:rsidRPr="00355EF3">
        <w:rPr>
          <w:rFonts w:cs="Times New Roman"/>
          <w:color w:val="000000"/>
          <w:szCs w:val="22"/>
          <w:lang w:eastAsia="en-CA"/>
        </w:rPr>
        <w:t>Mocan, H. N. (2001). “Can Consumers Detect Lemons? Information Asymmetry in the Market for Child Care.” National Bureau of Economic Research, Working Paper No. 8291.</w:t>
      </w:r>
    </w:p>
    <w:p w:rsidR="002825C5" w:rsidRPr="00355EF3" w:rsidRDefault="00E17609" w:rsidP="002825C5">
      <w:pPr>
        <w:ind w:left="706" w:hanging="706"/>
        <w:rPr>
          <w:rFonts w:cs="Times New Roman"/>
          <w:szCs w:val="22"/>
          <w:lang w:eastAsia="en-CA"/>
        </w:rPr>
      </w:pPr>
      <w:r w:rsidRPr="00355EF3">
        <w:rPr>
          <w:rFonts w:cs="Times New Roman"/>
          <w:szCs w:val="22"/>
          <w:lang w:eastAsia="en-CA"/>
        </w:rPr>
        <w:t>Mocan, H. N., (2002). “The Market for Child Care”, National Bureau of Economic Research, Reporter.</w:t>
      </w:r>
    </w:p>
    <w:p w:rsidR="002825C5" w:rsidRPr="00355EF3" w:rsidRDefault="009F66D1" w:rsidP="002825C5">
      <w:pPr>
        <w:ind w:left="706" w:hanging="706"/>
        <w:rPr>
          <w:rFonts w:cs="Times New Roman"/>
          <w:i/>
          <w:iCs/>
          <w:color w:val="000000"/>
          <w:szCs w:val="22"/>
          <w:lang w:eastAsia="en-CA"/>
        </w:rPr>
      </w:pPr>
      <w:r w:rsidRPr="00355EF3">
        <w:rPr>
          <w:rFonts w:cs="Times New Roman"/>
          <w:color w:val="000000"/>
          <w:szCs w:val="22"/>
          <w:lang w:eastAsia="en-CA"/>
        </w:rPr>
        <w:t>Müller, K. and T. Bauer (2001).  </w:t>
      </w:r>
      <w:r w:rsidRPr="00355EF3">
        <w:rPr>
          <w:rFonts w:cs="Times New Roman"/>
          <w:i/>
          <w:iCs/>
          <w:color w:val="000000"/>
          <w:szCs w:val="22"/>
          <w:lang w:eastAsia="en-CA"/>
        </w:rPr>
        <w:t>Costs and Benefits of Child care Services in Switzerland – Empirical Findings from Zurich.</w:t>
      </w:r>
    </w:p>
    <w:p w:rsidR="002825C5" w:rsidRPr="00355EF3" w:rsidRDefault="009F66D1" w:rsidP="002825C5">
      <w:pPr>
        <w:ind w:left="706" w:hanging="706"/>
        <w:rPr>
          <w:rFonts w:cs="Times New Roman"/>
          <w:color w:val="000000"/>
          <w:szCs w:val="22"/>
          <w:lang w:eastAsia="en-CA"/>
        </w:rPr>
      </w:pPr>
      <w:r w:rsidRPr="00355EF3">
        <w:rPr>
          <w:rFonts w:cs="Times New Roman"/>
          <w:color w:val="000000"/>
          <w:szCs w:val="22"/>
          <w:lang w:eastAsia="en-CA"/>
        </w:rPr>
        <w:t xml:space="preserve">NICHD Early Child Care Research Network (2003a). “Modeling the impacts of child care quality on children’s preschool cognitive development.” </w:t>
      </w:r>
      <w:r w:rsidRPr="00355EF3">
        <w:rPr>
          <w:rFonts w:cs="Times New Roman"/>
          <w:i/>
          <w:iCs/>
          <w:color w:val="000000"/>
          <w:szCs w:val="22"/>
          <w:lang w:eastAsia="en-CA"/>
        </w:rPr>
        <w:t>Child Development</w:t>
      </w:r>
      <w:r w:rsidRPr="00355EF3">
        <w:rPr>
          <w:rFonts w:cs="Times New Roman"/>
          <w:color w:val="000000"/>
          <w:szCs w:val="22"/>
          <w:lang w:eastAsia="en-CA"/>
        </w:rPr>
        <w:t>, 74(5), pp. 1454-1475.</w:t>
      </w:r>
    </w:p>
    <w:p w:rsidR="009F66D1" w:rsidRPr="00355EF3" w:rsidRDefault="009F66D1" w:rsidP="00136A6F">
      <w:pPr>
        <w:ind w:left="706" w:hanging="706"/>
        <w:rPr>
          <w:rFonts w:cs="Times New Roman"/>
          <w:szCs w:val="22"/>
        </w:rPr>
      </w:pPr>
      <w:r w:rsidRPr="00355EF3">
        <w:rPr>
          <w:rFonts w:cs="Times New Roman"/>
          <w:color w:val="000000"/>
          <w:szCs w:val="22"/>
          <w:lang w:eastAsia="en-CA"/>
        </w:rPr>
        <w:t xml:space="preserve">NICHD Early Child Care Research Network (2003b). “Does amount of time spent in child care predict socio-emotional adjustment during the transition to Kindergarten?” </w:t>
      </w:r>
      <w:r w:rsidRPr="00355EF3">
        <w:rPr>
          <w:rFonts w:cs="Times New Roman"/>
          <w:i/>
          <w:iCs/>
          <w:color w:val="000000"/>
          <w:szCs w:val="22"/>
          <w:lang w:eastAsia="en-CA"/>
        </w:rPr>
        <w:t>Child Development</w:t>
      </w:r>
      <w:r w:rsidRPr="00355EF3">
        <w:rPr>
          <w:rFonts w:cs="Times New Roman"/>
          <w:color w:val="000000"/>
          <w:szCs w:val="22"/>
          <w:lang w:eastAsia="en-CA"/>
        </w:rPr>
        <w:t>, 74(4), pp. 976-1005.</w:t>
      </w:r>
    </w:p>
    <w:p w:rsidR="00136A6F" w:rsidRPr="00355EF3" w:rsidRDefault="00136A6F" w:rsidP="00136A6F">
      <w:pPr>
        <w:ind w:left="706" w:hanging="706"/>
        <w:rPr>
          <w:rFonts w:cs="Times New Roman"/>
          <w:szCs w:val="22"/>
          <w:lang w:val="en-US"/>
        </w:rPr>
      </w:pPr>
      <w:r w:rsidRPr="00355EF3">
        <w:rPr>
          <w:rFonts w:cs="Times New Roman"/>
          <w:szCs w:val="22"/>
        </w:rPr>
        <w:t xml:space="preserve">OECD (2004), </w:t>
      </w:r>
      <w:r w:rsidRPr="00355EF3">
        <w:rPr>
          <w:rFonts w:cs="Times New Roman"/>
          <w:i/>
          <w:szCs w:val="22"/>
        </w:rPr>
        <w:t xml:space="preserve">Early Childhood Education and Care Policy: Canada Country Note. </w:t>
      </w:r>
      <w:r w:rsidRPr="00355EF3">
        <w:rPr>
          <w:rFonts w:cs="Times New Roman"/>
          <w:szCs w:val="22"/>
        </w:rPr>
        <w:t>Paris:</w:t>
      </w:r>
      <w:r w:rsidRPr="00355EF3">
        <w:rPr>
          <w:rFonts w:cs="Times New Roman"/>
          <w:i/>
          <w:szCs w:val="22"/>
        </w:rPr>
        <w:t xml:space="preserve"> </w:t>
      </w:r>
      <w:r w:rsidRPr="00355EF3">
        <w:rPr>
          <w:rFonts w:cs="Times New Roman"/>
          <w:szCs w:val="22"/>
        </w:rPr>
        <w:t>OECD Directorate for Education.</w:t>
      </w:r>
    </w:p>
    <w:p w:rsidR="008F2188" w:rsidRPr="00355EF3" w:rsidRDefault="008F2188" w:rsidP="008F2188">
      <w:pPr>
        <w:ind w:left="706" w:hanging="706"/>
        <w:rPr>
          <w:rFonts w:cs="Times New Roman"/>
          <w:szCs w:val="22"/>
        </w:rPr>
      </w:pPr>
      <w:r w:rsidRPr="00355EF3">
        <w:rPr>
          <w:rFonts w:cs="Times New Roman"/>
          <w:szCs w:val="22"/>
        </w:rPr>
        <w:t xml:space="preserve">Oishi, A.S. (2002). “The Effect of Childcare Costs on Mothers’ Labor Force Participation”, </w:t>
      </w:r>
      <w:r w:rsidRPr="00355EF3">
        <w:rPr>
          <w:rFonts w:cs="Times New Roman"/>
          <w:i/>
          <w:szCs w:val="22"/>
        </w:rPr>
        <w:t>Japanese Journal of Social Security</w:t>
      </w:r>
      <w:r w:rsidRPr="00355EF3">
        <w:rPr>
          <w:rFonts w:cs="Times New Roman"/>
          <w:szCs w:val="22"/>
        </w:rPr>
        <w:t>, 1, pp. 51–67.</w:t>
      </w:r>
    </w:p>
    <w:p w:rsidR="001C40E0" w:rsidRPr="00355EF3" w:rsidRDefault="001C40E0" w:rsidP="001C40E0">
      <w:pPr>
        <w:ind w:left="706" w:hanging="706"/>
        <w:rPr>
          <w:rFonts w:cs="Times New Roman"/>
          <w:color w:val="000000"/>
          <w:szCs w:val="22"/>
          <w:lang w:eastAsia="en-CA"/>
        </w:rPr>
      </w:pPr>
      <w:r w:rsidRPr="00355EF3">
        <w:rPr>
          <w:rFonts w:cs="Times New Roman"/>
          <w:szCs w:val="22"/>
        </w:rPr>
        <w:t>Pascal, C. (2009). “With Our Best Future in Mind – Implementing Early Learning in Ontario”, Report to the Premier by the Special Advisor on Early Learning.</w:t>
      </w:r>
      <w:r w:rsidRPr="00355EF3">
        <w:rPr>
          <w:rFonts w:cs="Times New Roman"/>
          <w:color w:val="000000"/>
          <w:szCs w:val="22"/>
          <w:lang w:eastAsia="en-CA"/>
        </w:rPr>
        <w:t xml:space="preserve"> Available at: </w:t>
      </w:r>
      <w:hyperlink r:id="rId17" w:history="1">
        <w:r w:rsidRPr="00355EF3">
          <w:rPr>
            <w:rStyle w:val="Hyperlink"/>
            <w:rFonts w:cs="Times New Roman"/>
            <w:color w:val="000000"/>
            <w:szCs w:val="22"/>
            <w:u w:val="none"/>
            <w:lang w:eastAsia="en-CA"/>
          </w:rPr>
          <w:t>http://www.ontario.ca/ontprodconsume/groups/content/@gopsp/@initiative/documents/document/ont06_018899.pdf. accessed 8/7/2009</w:t>
        </w:r>
      </w:hyperlink>
      <w:r w:rsidRPr="00355EF3">
        <w:rPr>
          <w:rFonts w:cs="Times New Roman"/>
          <w:color w:val="000000"/>
          <w:szCs w:val="22"/>
          <w:lang w:eastAsia="en-CA"/>
        </w:rPr>
        <w:t>.</w:t>
      </w:r>
    </w:p>
    <w:p w:rsidR="002825C5" w:rsidRPr="00355EF3" w:rsidRDefault="002825C5" w:rsidP="001C40E0">
      <w:pPr>
        <w:ind w:left="706" w:hanging="706"/>
        <w:rPr>
          <w:rFonts w:cs="Times New Roman"/>
          <w:color w:val="000000"/>
          <w:szCs w:val="22"/>
          <w:lang w:eastAsia="en-CA"/>
        </w:rPr>
      </w:pPr>
      <w:r w:rsidRPr="00355EF3">
        <w:rPr>
          <w:rFonts w:cs="Times New Roman"/>
          <w:color w:val="000000"/>
          <w:szCs w:val="22"/>
          <w:lang w:eastAsia="en-CA"/>
        </w:rPr>
        <w:t xml:space="preserve">Peisner-Feinberg, E.S., M.S. Burchinal, R. Clifford, M. Culkin, C. Howes, S.L. Kagan, N. Yazejian, P. Byler, J. Rustici, and J. Zelazo (1999). </w:t>
      </w:r>
      <w:r w:rsidRPr="00355EF3">
        <w:rPr>
          <w:rFonts w:cs="Times New Roman"/>
          <w:i/>
          <w:iCs/>
          <w:color w:val="000000"/>
          <w:szCs w:val="22"/>
          <w:lang w:eastAsia="en-CA"/>
        </w:rPr>
        <w:t>The children of cost, quality and outcomes go to school.</w:t>
      </w:r>
      <w:r w:rsidRPr="00355EF3">
        <w:rPr>
          <w:rFonts w:cs="Times New Roman"/>
          <w:color w:val="000000"/>
          <w:szCs w:val="22"/>
          <w:lang w:eastAsia="en-CA"/>
        </w:rPr>
        <w:t xml:space="preserve"> Chapel Hill, NC: University of North Carolina, Frank Porter Graham Child Development Center.</w:t>
      </w:r>
    </w:p>
    <w:p w:rsidR="00740A5C" w:rsidRPr="00355EF3" w:rsidRDefault="00740A5C" w:rsidP="00740A5C">
      <w:pPr>
        <w:ind w:left="706" w:hanging="706"/>
        <w:rPr>
          <w:rFonts w:cs="Times New Roman"/>
          <w:szCs w:val="22"/>
        </w:rPr>
      </w:pPr>
      <w:r w:rsidRPr="00355EF3">
        <w:rPr>
          <w:rFonts w:cs="Times New Roman"/>
          <w:szCs w:val="22"/>
        </w:rPr>
        <w:t xml:space="preserve">Powell, L. M., (1997). </w:t>
      </w:r>
      <w:r w:rsidR="00254985" w:rsidRPr="00355EF3">
        <w:rPr>
          <w:rFonts w:cs="Times New Roman"/>
          <w:szCs w:val="22"/>
        </w:rPr>
        <w:t>“</w:t>
      </w:r>
      <w:r w:rsidRPr="00355EF3">
        <w:rPr>
          <w:rFonts w:cs="Times New Roman"/>
          <w:szCs w:val="22"/>
        </w:rPr>
        <w:t>The Impact of Child Care Cost on the Labour Supply of Married Mothers: Evidence from Canada</w:t>
      </w:r>
      <w:r w:rsidR="00254985" w:rsidRPr="00355EF3">
        <w:rPr>
          <w:rFonts w:cs="Times New Roman"/>
          <w:szCs w:val="22"/>
        </w:rPr>
        <w:t>”</w:t>
      </w:r>
      <w:r w:rsidRPr="00355EF3">
        <w:rPr>
          <w:rFonts w:cs="Times New Roman"/>
          <w:szCs w:val="22"/>
        </w:rPr>
        <w:t xml:space="preserve">, </w:t>
      </w:r>
      <w:r w:rsidRPr="00355EF3">
        <w:rPr>
          <w:rFonts w:cs="Times New Roman"/>
          <w:i/>
          <w:szCs w:val="22"/>
        </w:rPr>
        <w:t>Canadian Journal of Economics</w:t>
      </w:r>
      <w:r w:rsidRPr="00355EF3">
        <w:rPr>
          <w:rFonts w:cs="Times New Roman"/>
          <w:szCs w:val="22"/>
        </w:rPr>
        <w:t>, 30(3), pp. 577-94.</w:t>
      </w:r>
    </w:p>
    <w:p w:rsidR="008F2188" w:rsidRPr="00355EF3" w:rsidRDefault="00740A5C" w:rsidP="008F2188">
      <w:pPr>
        <w:ind w:left="706" w:hanging="706"/>
        <w:rPr>
          <w:rFonts w:cs="Times New Roman"/>
          <w:szCs w:val="22"/>
        </w:rPr>
      </w:pPr>
      <w:r w:rsidRPr="00355EF3">
        <w:rPr>
          <w:rFonts w:cs="Times New Roman"/>
          <w:szCs w:val="22"/>
        </w:rPr>
        <w:t>Powell, L.</w:t>
      </w:r>
      <w:r w:rsidR="008F2188" w:rsidRPr="00355EF3">
        <w:rPr>
          <w:rFonts w:cs="Times New Roman"/>
          <w:szCs w:val="22"/>
        </w:rPr>
        <w:t xml:space="preserve"> M</w:t>
      </w:r>
      <w:r w:rsidRPr="00355EF3">
        <w:rPr>
          <w:rFonts w:cs="Times New Roman"/>
          <w:szCs w:val="22"/>
        </w:rPr>
        <w:t>.,</w:t>
      </w:r>
      <w:r w:rsidR="008F2188" w:rsidRPr="00355EF3">
        <w:rPr>
          <w:rFonts w:cs="Times New Roman"/>
          <w:szCs w:val="22"/>
        </w:rPr>
        <w:t xml:space="preserve"> (1998). </w:t>
      </w:r>
      <w:r w:rsidR="00254985" w:rsidRPr="00355EF3">
        <w:rPr>
          <w:rFonts w:cs="Times New Roman"/>
          <w:szCs w:val="22"/>
        </w:rPr>
        <w:t>“</w:t>
      </w:r>
      <w:r w:rsidR="008F2188" w:rsidRPr="00355EF3">
        <w:rPr>
          <w:rFonts w:cs="Times New Roman"/>
          <w:szCs w:val="22"/>
        </w:rPr>
        <w:t>Part-Time versus Full-Time Work and Child Care Costs: Evidence for Married Mothers</w:t>
      </w:r>
      <w:r w:rsidR="00254985" w:rsidRPr="00355EF3">
        <w:rPr>
          <w:rFonts w:cs="Times New Roman"/>
          <w:szCs w:val="22"/>
        </w:rPr>
        <w:t>”</w:t>
      </w:r>
      <w:r w:rsidR="008F2188" w:rsidRPr="00355EF3">
        <w:rPr>
          <w:rFonts w:cs="Times New Roman"/>
          <w:szCs w:val="22"/>
        </w:rPr>
        <w:t xml:space="preserve">, </w:t>
      </w:r>
      <w:r w:rsidR="008F2188" w:rsidRPr="00355EF3">
        <w:rPr>
          <w:rFonts w:cs="Times New Roman"/>
          <w:i/>
          <w:szCs w:val="22"/>
        </w:rPr>
        <w:t>Applied Economics</w:t>
      </w:r>
      <w:r w:rsidR="008F2188" w:rsidRPr="00355EF3">
        <w:rPr>
          <w:rFonts w:cs="Times New Roman"/>
          <w:szCs w:val="22"/>
        </w:rPr>
        <w:t xml:space="preserve">, Taylor and Francis Journals, 30(4), pp. 503-11. </w:t>
      </w:r>
    </w:p>
    <w:p w:rsidR="00740A5C" w:rsidRPr="00355EF3" w:rsidRDefault="00740A5C" w:rsidP="00740A5C">
      <w:pPr>
        <w:ind w:left="706" w:hanging="706"/>
        <w:rPr>
          <w:rFonts w:cs="Times New Roman"/>
          <w:szCs w:val="22"/>
        </w:rPr>
      </w:pPr>
      <w:r w:rsidRPr="00355EF3">
        <w:rPr>
          <w:rFonts w:cs="Times New Roman"/>
          <w:szCs w:val="22"/>
        </w:rPr>
        <w:t xml:space="preserve">Powell, L. M., (2002). “Joint Labor Supply and Childcare Choice Decisions of Married Mothers”, </w:t>
      </w:r>
      <w:r w:rsidRPr="00355EF3">
        <w:rPr>
          <w:rFonts w:cs="Times New Roman"/>
          <w:i/>
          <w:szCs w:val="22"/>
        </w:rPr>
        <w:t>The Journal of Human Resources</w:t>
      </w:r>
      <w:r w:rsidRPr="00355EF3">
        <w:rPr>
          <w:rFonts w:cs="Times New Roman"/>
          <w:szCs w:val="22"/>
        </w:rPr>
        <w:t xml:space="preserve">, 37(1), pp. 106-128 </w:t>
      </w:r>
    </w:p>
    <w:p w:rsidR="002825C5" w:rsidRPr="00355EF3" w:rsidRDefault="008F2188" w:rsidP="002825C5">
      <w:pPr>
        <w:ind w:left="706" w:hanging="706"/>
        <w:rPr>
          <w:rFonts w:cs="Times New Roman"/>
          <w:szCs w:val="22"/>
        </w:rPr>
      </w:pPr>
      <w:r w:rsidRPr="00355EF3">
        <w:rPr>
          <w:rFonts w:cs="Times New Roman"/>
          <w:szCs w:val="22"/>
        </w:rPr>
        <w:t>Prentice, S</w:t>
      </w:r>
      <w:r w:rsidR="00985814" w:rsidRPr="00355EF3">
        <w:rPr>
          <w:rFonts w:cs="Times New Roman"/>
          <w:szCs w:val="22"/>
        </w:rPr>
        <w:t>.,</w:t>
      </w:r>
      <w:r w:rsidRPr="00355EF3">
        <w:rPr>
          <w:rFonts w:cs="Times New Roman"/>
          <w:szCs w:val="22"/>
        </w:rPr>
        <w:t xml:space="preserve"> (2008). “Rural Childcare in Manitoba: New Economic Evidence”, Municipal Leader.</w:t>
      </w:r>
    </w:p>
    <w:p w:rsidR="00E52386" w:rsidRDefault="009F66D1" w:rsidP="00E52386">
      <w:pPr>
        <w:ind w:left="706" w:hanging="706"/>
        <w:rPr>
          <w:rFonts w:cs="Times New Roman"/>
          <w:color w:val="000000"/>
          <w:szCs w:val="22"/>
          <w:lang w:eastAsia="en-CA"/>
        </w:rPr>
      </w:pPr>
      <w:r w:rsidRPr="00355EF3">
        <w:rPr>
          <w:rFonts w:cs="Times New Roman"/>
          <w:color w:val="000000"/>
          <w:szCs w:val="22"/>
          <w:lang w:eastAsia="en-CA"/>
        </w:rPr>
        <w:t>Reynolds, A.J.</w:t>
      </w:r>
      <w:r w:rsidR="00E52386">
        <w:rPr>
          <w:rFonts w:cs="Times New Roman"/>
          <w:color w:val="000000"/>
          <w:szCs w:val="22"/>
          <w:lang w:eastAsia="en-CA"/>
        </w:rPr>
        <w:t>,</w:t>
      </w:r>
      <w:r w:rsidRPr="00355EF3">
        <w:rPr>
          <w:rFonts w:cs="Times New Roman"/>
          <w:color w:val="000000"/>
          <w:szCs w:val="22"/>
          <w:lang w:eastAsia="en-CA"/>
        </w:rPr>
        <w:t xml:space="preserve"> (1999). “Educational success in high risk settings: Contributions of the Chicago Longitudinal Study.” </w:t>
      </w:r>
      <w:r w:rsidRPr="00355EF3">
        <w:rPr>
          <w:rFonts w:cs="Times New Roman"/>
          <w:i/>
          <w:iCs/>
          <w:color w:val="000000"/>
          <w:szCs w:val="22"/>
          <w:lang w:eastAsia="en-CA"/>
        </w:rPr>
        <w:t>Journal of School Psychology</w:t>
      </w:r>
      <w:r w:rsidRPr="00355EF3">
        <w:rPr>
          <w:rFonts w:cs="Times New Roman"/>
          <w:color w:val="000000"/>
          <w:szCs w:val="22"/>
          <w:lang w:eastAsia="en-CA"/>
        </w:rPr>
        <w:t>, 37(4), pp. 345-354.</w:t>
      </w:r>
    </w:p>
    <w:p w:rsidR="00E52386" w:rsidRPr="00E52386" w:rsidRDefault="00E52386" w:rsidP="00E52386">
      <w:pPr>
        <w:ind w:left="706" w:hanging="706"/>
        <w:rPr>
          <w:rFonts w:cs="Times New Roman"/>
          <w:color w:val="000000"/>
          <w:szCs w:val="22"/>
          <w:lang w:eastAsia="en-CA"/>
        </w:rPr>
      </w:pPr>
      <w:r w:rsidRPr="00E52386">
        <w:rPr>
          <w:rFonts w:ascii="Times-Roman" w:hAnsi="Times-Roman" w:cs="Times-Roman"/>
          <w:szCs w:val="22"/>
          <w:lang w:eastAsia="en-CA"/>
        </w:rPr>
        <w:t>Reynolds, A</w:t>
      </w:r>
      <w:r>
        <w:rPr>
          <w:rFonts w:ascii="Times-Roman" w:hAnsi="Times-Roman" w:cs="Times-Roman"/>
          <w:szCs w:val="22"/>
          <w:lang w:eastAsia="en-CA"/>
        </w:rPr>
        <w:t>.</w:t>
      </w:r>
      <w:r w:rsidRPr="00E52386">
        <w:rPr>
          <w:rFonts w:ascii="Times-Roman" w:hAnsi="Times-Roman" w:cs="Times-Roman"/>
          <w:szCs w:val="22"/>
          <w:lang w:eastAsia="en-CA"/>
        </w:rPr>
        <w:t>, J</w:t>
      </w:r>
      <w:r>
        <w:rPr>
          <w:rFonts w:ascii="Times-Roman" w:hAnsi="Times-Roman" w:cs="Times-Roman"/>
          <w:szCs w:val="22"/>
          <w:lang w:eastAsia="en-CA"/>
        </w:rPr>
        <w:t>.</w:t>
      </w:r>
      <w:r w:rsidRPr="00E52386">
        <w:rPr>
          <w:rFonts w:ascii="Times-Roman" w:hAnsi="Times-Roman" w:cs="Times-Roman"/>
          <w:szCs w:val="22"/>
          <w:lang w:eastAsia="en-CA"/>
        </w:rPr>
        <w:t xml:space="preserve"> Temple, D</w:t>
      </w:r>
      <w:r>
        <w:rPr>
          <w:rFonts w:ascii="Times-Roman" w:hAnsi="Times-Roman" w:cs="Times-Roman"/>
          <w:szCs w:val="22"/>
          <w:lang w:eastAsia="en-CA"/>
        </w:rPr>
        <w:t>.</w:t>
      </w:r>
      <w:r w:rsidRPr="00E52386">
        <w:rPr>
          <w:rFonts w:ascii="Times-Roman" w:hAnsi="Times-Roman" w:cs="Times-Roman"/>
          <w:szCs w:val="22"/>
          <w:lang w:eastAsia="en-CA"/>
        </w:rPr>
        <w:t xml:space="preserve"> Robertson, and E</w:t>
      </w:r>
      <w:r>
        <w:rPr>
          <w:rFonts w:ascii="Times-Roman" w:hAnsi="Times-Roman" w:cs="Times-Roman"/>
          <w:szCs w:val="22"/>
          <w:lang w:eastAsia="en-CA"/>
        </w:rPr>
        <w:t>. Mann</w:t>
      </w:r>
      <w:r w:rsidRPr="00E52386">
        <w:rPr>
          <w:rFonts w:ascii="Times-Roman" w:hAnsi="Times-Roman" w:cs="Times-Roman"/>
          <w:szCs w:val="22"/>
          <w:lang w:eastAsia="en-CA"/>
        </w:rPr>
        <w:t xml:space="preserve"> </w:t>
      </w:r>
      <w:r>
        <w:rPr>
          <w:rFonts w:ascii="Times-Roman" w:hAnsi="Times-Roman" w:cs="Times-Roman"/>
          <w:szCs w:val="22"/>
          <w:lang w:eastAsia="en-CA"/>
        </w:rPr>
        <w:t>(</w:t>
      </w:r>
      <w:r w:rsidRPr="00E52386">
        <w:rPr>
          <w:rFonts w:ascii="Times-Roman" w:hAnsi="Times-Roman" w:cs="Times-Roman"/>
          <w:szCs w:val="22"/>
          <w:lang w:eastAsia="en-CA"/>
        </w:rPr>
        <w:t>2002</w:t>
      </w:r>
      <w:r>
        <w:rPr>
          <w:rFonts w:ascii="Times-Roman" w:hAnsi="Times-Roman" w:cs="Times-Roman"/>
          <w:szCs w:val="22"/>
          <w:lang w:eastAsia="en-CA"/>
        </w:rPr>
        <w:t>)</w:t>
      </w:r>
      <w:r w:rsidRPr="00E52386">
        <w:rPr>
          <w:rFonts w:ascii="Times-Roman" w:hAnsi="Times-Roman" w:cs="Times-Roman"/>
          <w:szCs w:val="22"/>
          <w:lang w:eastAsia="en-CA"/>
        </w:rPr>
        <w:t>. “Age 21</w:t>
      </w:r>
      <w:r>
        <w:rPr>
          <w:rFonts w:ascii="Times-Roman" w:hAnsi="Times-Roman" w:cs="Times-Roman"/>
          <w:szCs w:val="22"/>
          <w:lang w:eastAsia="en-CA"/>
        </w:rPr>
        <w:t xml:space="preserve"> </w:t>
      </w:r>
      <w:r w:rsidRPr="00E52386">
        <w:rPr>
          <w:rFonts w:ascii="Times-Roman" w:hAnsi="Times-Roman" w:cs="Times-Roman"/>
          <w:szCs w:val="22"/>
          <w:lang w:eastAsia="en-CA"/>
        </w:rPr>
        <w:t>Cost-Benefit Analysis of the Title 1 Chicago Child-Parent Centers.” Discussion</w:t>
      </w:r>
      <w:r>
        <w:rPr>
          <w:rFonts w:ascii="Times-Roman" w:hAnsi="Times-Roman" w:cs="Times-Roman"/>
          <w:szCs w:val="22"/>
          <w:lang w:eastAsia="en-CA"/>
        </w:rPr>
        <w:t xml:space="preserve"> </w:t>
      </w:r>
      <w:r w:rsidRPr="00E52386">
        <w:rPr>
          <w:rFonts w:ascii="Times-Roman" w:hAnsi="Times-Roman" w:cs="Times-Roman"/>
          <w:szCs w:val="22"/>
          <w:lang w:eastAsia="en-CA"/>
        </w:rPr>
        <w:t>Paper no. 1245-02, Institute for Research on Poverty.</w:t>
      </w:r>
      <w:r>
        <w:rPr>
          <w:rFonts w:ascii="Times-Roman" w:hAnsi="Times-Roman" w:cs="Times-Roman"/>
          <w:szCs w:val="22"/>
          <w:lang w:eastAsia="en-CA"/>
        </w:rPr>
        <w:t xml:space="preserve"> from </w:t>
      </w:r>
      <w:r w:rsidRPr="00E52386">
        <w:rPr>
          <w:rFonts w:ascii="Times-Roman" w:hAnsi="Times-Roman" w:cs="Times-Roman"/>
          <w:szCs w:val="22"/>
          <w:lang w:eastAsia="en-CA"/>
        </w:rPr>
        <w:t>http://www.ssc.wisc.edu/irp/</w:t>
      </w:r>
    </w:p>
    <w:p w:rsidR="00740A5C" w:rsidRPr="00355EF3" w:rsidRDefault="00740A5C" w:rsidP="002825C5">
      <w:pPr>
        <w:ind w:left="706" w:hanging="706"/>
        <w:rPr>
          <w:rFonts w:cs="Times New Roman"/>
          <w:color w:val="000000"/>
          <w:szCs w:val="22"/>
          <w:lang w:eastAsia="en-CA"/>
        </w:rPr>
      </w:pPr>
      <w:r w:rsidRPr="00355EF3">
        <w:rPr>
          <w:rFonts w:cs="Times New Roman"/>
          <w:szCs w:val="22"/>
        </w:rPr>
        <w:lastRenderedPageBreak/>
        <w:t xml:space="preserve">Ribar, D. C., (1992). “Child Care and the Labor Supply of Married Women: Reduced Form Evidence”, </w:t>
      </w:r>
      <w:r w:rsidRPr="00355EF3">
        <w:rPr>
          <w:rFonts w:cs="Times New Roman"/>
          <w:i/>
          <w:szCs w:val="22"/>
        </w:rPr>
        <w:t>Journal of Human Resources</w:t>
      </w:r>
      <w:r w:rsidRPr="00355EF3">
        <w:rPr>
          <w:rFonts w:cs="Times New Roman"/>
          <w:szCs w:val="22"/>
        </w:rPr>
        <w:t>, pp. 134-165.</w:t>
      </w:r>
    </w:p>
    <w:p w:rsidR="008F2188" w:rsidRPr="00355EF3" w:rsidRDefault="008F2188" w:rsidP="008F2188">
      <w:pPr>
        <w:ind w:left="706" w:hanging="706"/>
        <w:rPr>
          <w:rFonts w:cs="Times New Roman"/>
          <w:szCs w:val="22"/>
        </w:rPr>
      </w:pPr>
      <w:r w:rsidRPr="00355EF3">
        <w:rPr>
          <w:rFonts w:cs="Times New Roman"/>
          <w:szCs w:val="22"/>
        </w:rPr>
        <w:t>Ribar, D</w:t>
      </w:r>
      <w:r w:rsidR="00D86D63" w:rsidRPr="00355EF3">
        <w:rPr>
          <w:rFonts w:cs="Times New Roman"/>
          <w:szCs w:val="22"/>
        </w:rPr>
        <w:t>.</w:t>
      </w:r>
      <w:r w:rsidRPr="00355EF3">
        <w:rPr>
          <w:rFonts w:cs="Times New Roman"/>
          <w:szCs w:val="22"/>
        </w:rPr>
        <w:t xml:space="preserve"> C</w:t>
      </w:r>
      <w:r w:rsidR="00D86D63" w:rsidRPr="00355EF3">
        <w:rPr>
          <w:rFonts w:cs="Times New Roman"/>
          <w:szCs w:val="22"/>
        </w:rPr>
        <w:t>.,</w:t>
      </w:r>
      <w:r w:rsidRPr="00355EF3">
        <w:rPr>
          <w:rFonts w:cs="Times New Roman"/>
          <w:szCs w:val="22"/>
        </w:rPr>
        <w:t xml:space="preserve"> (1995). </w:t>
      </w:r>
      <w:r w:rsidR="0063792A" w:rsidRPr="00355EF3">
        <w:rPr>
          <w:rFonts w:cs="Times New Roman"/>
          <w:szCs w:val="22"/>
        </w:rPr>
        <w:t>“</w:t>
      </w:r>
      <w:r w:rsidRPr="00355EF3">
        <w:rPr>
          <w:rFonts w:cs="Times New Roman"/>
          <w:szCs w:val="22"/>
        </w:rPr>
        <w:t>A Structural Model of Child Care and the Labor Supply of Married Women</w:t>
      </w:r>
      <w:r w:rsidR="0063792A" w:rsidRPr="00355EF3">
        <w:rPr>
          <w:rFonts w:cs="Times New Roman"/>
          <w:szCs w:val="22"/>
        </w:rPr>
        <w:t>”</w:t>
      </w:r>
      <w:r w:rsidRPr="00355EF3">
        <w:rPr>
          <w:rFonts w:cs="Times New Roman"/>
          <w:szCs w:val="22"/>
        </w:rPr>
        <w:t xml:space="preserve">, </w:t>
      </w:r>
      <w:r w:rsidRPr="00355EF3">
        <w:rPr>
          <w:rFonts w:cs="Times New Roman"/>
          <w:i/>
          <w:szCs w:val="22"/>
        </w:rPr>
        <w:t>Journal of Labor Economics</w:t>
      </w:r>
      <w:r w:rsidRPr="00355EF3">
        <w:rPr>
          <w:rFonts w:cs="Times New Roman"/>
          <w:szCs w:val="22"/>
        </w:rPr>
        <w:t>, 13(3), pp. 558-97.</w:t>
      </w:r>
    </w:p>
    <w:p w:rsidR="002825C5" w:rsidRPr="00355EF3" w:rsidRDefault="008F2188" w:rsidP="002825C5">
      <w:pPr>
        <w:ind w:left="706" w:hanging="706"/>
        <w:rPr>
          <w:rFonts w:cs="Times New Roman"/>
          <w:szCs w:val="22"/>
        </w:rPr>
      </w:pPr>
      <w:r w:rsidRPr="00355EF3">
        <w:rPr>
          <w:rFonts w:cs="Times New Roman"/>
          <w:szCs w:val="22"/>
        </w:rPr>
        <w:t>Rickman, D</w:t>
      </w:r>
      <w:r w:rsidR="00D86D63" w:rsidRPr="00355EF3">
        <w:rPr>
          <w:rFonts w:cs="Times New Roman"/>
          <w:szCs w:val="22"/>
        </w:rPr>
        <w:t>.</w:t>
      </w:r>
      <w:r w:rsidRPr="00355EF3">
        <w:rPr>
          <w:rFonts w:cs="Times New Roman"/>
          <w:szCs w:val="22"/>
        </w:rPr>
        <w:t xml:space="preserve"> S., M</w:t>
      </w:r>
      <w:r w:rsidR="00D86D63" w:rsidRPr="00355EF3">
        <w:rPr>
          <w:rFonts w:cs="Times New Roman"/>
          <w:szCs w:val="22"/>
        </w:rPr>
        <w:t>.</w:t>
      </w:r>
      <w:r w:rsidRPr="00355EF3">
        <w:rPr>
          <w:rFonts w:cs="Times New Roman"/>
          <w:szCs w:val="22"/>
        </w:rPr>
        <w:t xml:space="preserve"> C. Snead (2007). “A Regional Comparative Static CGE Analysis of Subsidized Child Care”, </w:t>
      </w:r>
      <w:r w:rsidRPr="00355EF3">
        <w:rPr>
          <w:rFonts w:cs="Times New Roman"/>
          <w:i/>
          <w:szCs w:val="22"/>
        </w:rPr>
        <w:t>Growth and Change</w:t>
      </w:r>
      <w:r w:rsidR="002825C5" w:rsidRPr="00355EF3">
        <w:rPr>
          <w:rFonts w:cs="Times New Roman"/>
          <w:szCs w:val="22"/>
        </w:rPr>
        <w:t>, 38(1), pp. 111-139.</w:t>
      </w:r>
    </w:p>
    <w:p w:rsidR="002825C5" w:rsidRPr="00355EF3" w:rsidRDefault="002825C5" w:rsidP="002825C5">
      <w:pPr>
        <w:ind w:left="706" w:hanging="706"/>
        <w:rPr>
          <w:rFonts w:cs="Times New Roman"/>
          <w:color w:val="000000"/>
          <w:szCs w:val="22"/>
          <w:lang w:eastAsia="en-CA"/>
        </w:rPr>
      </w:pPr>
      <w:r w:rsidRPr="00355EF3">
        <w:rPr>
          <w:rFonts w:cs="Times New Roman"/>
          <w:color w:val="000000"/>
          <w:szCs w:val="22"/>
          <w:lang w:eastAsia="en-CA"/>
        </w:rPr>
        <w:t>Schweinhart, L.J., H.V. Barnes, and D.P. Weikart (1993). “Significant benefits: The High/Scope Perry Preschool study through age 27.” Monographs of the High/Scope Educational Research Foundation, No 10, Ypsilanti, MI: High/Scope Educational Research Foundation.</w:t>
      </w:r>
    </w:p>
    <w:p w:rsidR="002825C5" w:rsidRPr="00355EF3" w:rsidRDefault="002825C5" w:rsidP="002825C5">
      <w:pPr>
        <w:ind w:left="706" w:hanging="706"/>
        <w:rPr>
          <w:rFonts w:cs="Times New Roman"/>
          <w:color w:val="000000"/>
          <w:szCs w:val="22"/>
          <w:lang w:eastAsia="en-CA"/>
        </w:rPr>
      </w:pPr>
      <w:r w:rsidRPr="00355EF3">
        <w:rPr>
          <w:rFonts w:cs="Times New Roman"/>
          <w:color w:val="000000"/>
          <w:szCs w:val="22"/>
          <w:lang w:eastAsia="en-CA"/>
        </w:rPr>
        <w:t xml:space="preserve">Seitz, V., and Apfel, N.H. (1994). “Parent-focused intervention: Diffusion effects on siblings.” </w:t>
      </w:r>
      <w:r w:rsidRPr="00355EF3">
        <w:rPr>
          <w:rFonts w:cs="Times New Roman"/>
          <w:i/>
          <w:iCs/>
          <w:color w:val="000000"/>
          <w:szCs w:val="22"/>
          <w:lang w:eastAsia="en-CA"/>
        </w:rPr>
        <w:t>Child Development</w:t>
      </w:r>
      <w:r w:rsidRPr="00355EF3">
        <w:rPr>
          <w:rFonts w:cs="Times New Roman"/>
          <w:color w:val="000000"/>
          <w:szCs w:val="22"/>
          <w:lang w:eastAsia="en-CA"/>
        </w:rPr>
        <w:t>, 65, pp. 677–83.</w:t>
      </w:r>
    </w:p>
    <w:p w:rsidR="002825C5" w:rsidRDefault="008F2188" w:rsidP="002825C5">
      <w:pPr>
        <w:ind w:left="706" w:hanging="706"/>
        <w:rPr>
          <w:rFonts w:cs="Times New Roman"/>
          <w:szCs w:val="22"/>
        </w:rPr>
      </w:pPr>
      <w:r w:rsidRPr="00355EF3">
        <w:rPr>
          <w:rFonts w:cs="Times New Roman"/>
          <w:szCs w:val="22"/>
        </w:rPr>
        <w:t>Shellenback, K. (2004). “Child Care and Parent Productivity: Making the Business Case”, Ithaca, NY: Cornell University Department of City and Regional Planning, pp. 1-18.</w:t>
      </w:r>
    </w:p>
    <w:p w:rsidR="00355EF3" w:rsidRPr="00EA4AC0" w:rsidRDefault="00355EF3" w:rsidP="00355EF3">
      <w:pPr>
        <w:pStyle w:val="refs"/>
      </w:pPr>
      <w:r w:rsidRPr="00EA4AC0">
        <w:t>Shimer, R. (2005). “The Cyclicality of Hires, Separations, and Job-to-Job Transitions”, Federal Reserve Bank of St. Louis Review, July/August 2005, 87(4), pp. 493-507.</w:t>
      </w:r>
    </w:p>
    <w:p w:rsidR="002825C5" w:rsidRPr="00355EF3" w:rsidRDefault="009F66D1" w:rsidP="002825C5">
      <w:pPr>
        <w:ind w:left="706" w:hanging="706"/>
        <w:rPr>
          <w:rFonts w:cs="Times New Roman"/>
          <w:szCs w:val="22"/>
        </w:rPr>
      </w:pPr>
      <w:r w:rsidRPr="00355EF3">
        <w:rPr>
          <w:rFonts w:cs="Times New Roman"/>
          <w:color w:val="000000"/>
          <w:szCs w:val="22"/>
          <w:lang w:eastAsia="en-CA"/>
        </w:rPr>
        <w:t xml:space="preserve">Sylva, K., E. Melhuish, P. Sammons, I. Siraj-Blatchford, B. Taggart and K. Elliot (2003). </w:t>
      </w:r>
      <w:r w:rsidRPr="00355EF3">
        <w:rPr>
          <w:rFonts w:cs="Times New Roman"/>
          <w:i/>
          <w:iCs/>
          <w:color w:val="000000"/>
          <w:szCs w:val="22"/>
          <w:lang w:eastAsia="en-CA"/>
        </w:rPr>
        <w:t>The Effective Provision of Pre-School Education (EPPE) Project: Findings from the Pre-School Period.</w:t>
      </w:r>
      <w:r w:rsidRPr="00355EF3">
        <w:rPr>
          <w:rFonts w:cs="Times New Roman"/>
          <w:color w:val="000000"/>
          <w:szCs w:val="22"/>
          <w:lang w:eastAsia="en-CA"/>
        </w:rPr>
        <w:t xml:space="preserve"> London, UK: University of London, Institute of Education, and Sure Start.</w:t>
      </w:r>
    </w:p>
    <w:p w:rsidR="009F66D1" w:rsidRPr="00355EF3" w:rsidRDefault="009F66D1" w:rsidP="008F2188">
      <w:pPr>
        <w:ind w:left="706" w:hanging="706"/>
        <w:rPr>
          <w:rFonts w:cs="Times New Roman"/>
          <w:szCs w:val="22"/>
        </w:rPr>
      </w:pPr>
      <w:r w:rsidRPr="00355EF3">
        <w:rPr>
          <w:rFonts w:cs="Times New Roman"/>
          <w:color w:val="000000"/>
          <w:szCs w:val="22"/>
          <w:lang w:eastAsia="en-CA"/>
        </w:rPr>
        <w:t xml:space="preserve">Temple, J. and A. Reynolds (2007). “Benefits and costs of investments in preschool education: Evidence from the Child–Parent Centers and related programs.” </w:t>
      </w:r>
      <w:r w:rsidRPr="00355EF3">
        <w:rPr>
          <w:rFonts w:cs="Times New Roman"/>
          <w:i/>
          <w:iCs/>
          <w:color w:val="000000"/>
          <w:szCs w:val="22"/>
          <w:lang w:eastAsia="en-CA"/>
        </w:rPr>
        <w:t>Economics of Education Review</w:t>
      </w:r>
      <w:r w:rsidRPr="00355EF3">
        <w:rPr>
          <w:rFonts w:cs="Times New Roman"/>
          <w:color w:val="000000"/>
          <w:szCs w:val="22"/>
          <w:lang w:eastAsia="en-CA"/>
        </w:rPr>
        <w:t>, 26(1), pp. 126-144.</w:t>
      </w:r>
    </w:p>
    <w:p w:rsidR="008F2188" w:rsidRPr="00355EF3" w:rsidRDefault="008F2188" w:rsidP="008F2188">
      <w:pPr>
        <w:ind w:left="706" w:hanging="706"/>
        <w:rPr>
          <w:rFonts w:cs="Times New Roman"/>
          <w:szCs w:val="22"/>
        </w:rPr>
      </w:pPr>
      <w:r w:rsidRPr="00355EF3">
        <w:rPr>
          <w:rFonts w:cs="Times New Roman"/>
          <w:szCs w:val="22"/>
        </w:rPr>
        <w:t>Warner, M. E., Ribeiro, R., and Smith, A. E.</w:t>
      </w:r>
      <w:r w:rsidR="00740A5C" w:rsidRPr="00355EF3">
        <w:rPr>
          <w:rFonts w:cs="Times New Roman"/>
          <w:szCs w:val="22"/>
        </w:rPr>
        <w:t>,</w:t>
      </w:r>
      <w:r w:rsidRPr="00355EF3">
        <w:rPr>
          <w:rFonts w:cs="Times New Roman"/>
          <w:szCs w:val="22"/>
        </w:rPr>
        <w:t xml:space="preserve"> (2003). “Addressing the Affordability Gap: Framing Child Care As Economic Development”, </w:t>
      </w:r>
      <w:r w:rsidRPr="00355EF3">
        <w:rPr>
          <w:rFonts w:cs="Times New Roman"/>
          <w:i/>
          <w:szCs w:val="22"/>
        </w:rPr>
        <w:t>Journal of Affordable Housing and Community Development Law</w:t>
      </w:r>
      <w:r w:rsidRPr="00355EF3">
        <w:rPr>
          <w:rFonts w:cs="Times New Roman"/>
          <w:szCs w:val="22"/>
        </w:rPr>
        <w:t>, 12(3), pp. 294-313.</w:t>
      </w:r>
    </w:p>
    <w:p w:rsidR="009F66D1" w:rsidRPr="00355EF3" w:rsidRDefault="008F2188" w:rsidP="009F66D1">
      <w:pPr>
        <w:ind w:left="706" w:hanging="706"/>
        <w:rPr>
          <w:rFonts w:cs="Times New Roman"/>
          <w:szCs w:val="22"/>
        </w:rPr>
      </w:pPr>
      <w:r w:rsidRPr="00355EF3">
        <w:rPr>
          <w:rFonts w:cs="Times New Roman"/>
          <w:szCs w:val="22"/>
        </w:rPr>
        <w:t xml:space="preserve">Warner, M., </w:t>
      </w:r>
      <w:r w:rsidR="00D86D63" w:rsidRPr="00355EF3">
        <w:rPr>
          <w:rFonts w:cs="Times New Roman"/>
          <w:szCs w:val="22"/>
        </w:rPr>
        <w:t xml:space="preserve">S. </w:t>
      </w:r>
      <w:r w:rsidRPr="00355EF3">
        <w:rPr>
          <w:rFonts w:cs="Times New Roman"/>
          <w:szCs w:val="22"/>
        </w:rPr>
        <w:t xml:space="preserve">Adriance, </w:t>
      </w:r>
      <w:r w:rsidR="00D86D63" w:rsidRPr="00355EF3">
        <w:rPr>
          <w:rFonts w:cs="Times New Roman"/>
          <w:szCs w:val="22"/>
        </w:rPr>
        <w:t xml:space="preserve">N. </w:t>
      </w:r>
      <w:r w:rsidRPr="00355EF3">
        <w:rPr>
          <w:rFonts w:cs="Times New Roman"/>
          <w:szCs w:val="22"/>
        </w:rPr>
        <w:t xml:space="preserve">Barai, </w:t>
      </w:r>
      <w:r w:rsidR="00D86D63" w:rsidRPr="00355EF3">
        <w:rPr>
          <w:rFonts w:cs="Times New Roman"/>
          <w:szCs w:val="22"/>
        </w:rPr>
        <w:t xml:space="preserve">J. </w:t>
      </w:r>
      <w:r w:rsidRPr="00355EF3">
        <w:rPr>
          <w:rFonts w:cs="Times New Roman"/>
          <w:szCs w:val="22"/>
        </w:rPr>
        <w:t xml:space="preserve">Halla, </w:t>
      </w:r>
      <w:r w:rsidR="00D86D63" w:rsidRPr="00355EF3">
        <w:rPr>
          <w:rFonts w:cs="Times New Roman"/>
          <w:szCs w:val="22"/>
        </w:rPr>
        <w:t>B.</w:t>
      </w:r>
      <w:r w:rsidRPr="00355EF3">
        <w:rPr>
          <w:rFonts w:cs="Times New Roman"/>
          <w:szCs w:val="22"/>
        </w:rPr>
        <w:t xml:space="preserve"> Markeson, and </w:t>
      </w:r>
      <w:r w:rsidR="00D86D63" w:rsidRPr="00355EF3">
        <w:rPr>
          <w:rFonts w:cs="Times New Roman"/>
          <w:szCs w:val="22"/>
        </w:rPr>
        <w:t xml:space="preserve">W. </w:t>
      </w:r>
      <w:r w:rsidRPr="00355EF3">
        <w:rPr>
          <w:rFonts w:cs="Times New Roman"/>
          <w:szCs w:val="22"/>
        </w:rPr>
        <w:t>Soref, (2005). “Economic Development Strategies to Promote Quality Child Care”, Ithaca, NY: Cornell University Department of City and Regional Planning, pp. 1-56.</w:t>
      </w:r>
    </w:p>
    <w:p w:rsidR="009F66D1" w:rsidRPr="00355EF3" w:rsidRDefault="008F2188" w:rsidP="009F66D1">
      <w:pPr>
        <w:ind w:left="706" w:hanging="706"/>
        <w:rPr>
          <w:rFonts w:cs="Times New Roman"/>
          <w:color w:val="000000"/>
          <w:szCs w:val="22"/>
          <w:lang w:eastAsia="en-CA"/>
        </w:rPr>
      </w:pPr>
      <w:r w:rsidRPr="00355EF3">
        <w:rPr>
          <w:rFonts w:cs="Times New Roman"/>
          <w:szCs w:val="22"/>
        </w:rPr>
        <w:t>Warner, M</w:t>
      </w:r>
      <w:r w:rsidR="00D86D63" w:rsidRPr="00355EF3">
        <w:rPr>
          <w:rFonts w:cs="Times New Roman"/>
          <w:szCs w:val="22"/>
        </w:rPr>
        <w:t>.</w:t>
      </w:r>
      <w:r w:rsidRPr="00355EF3">
        <w:rPr>
          <w:rFonts w:cs="Times New Roman"/>
          <w:szCs w:val="22"/>
        </w:rPr>
        <w:t xml:space="preserve"> and Z</w:t>
      </w:r>
      <w:r w:rsidR="00D86D63" w:rsidRPr="00355EF3">
        <w:rPr>
          <w:rFonts w:cs="Times New Roman"/>
          <w:szCs w:val="22"/>
        </w:rPr>
        <w:t>.</w:t>
      </w:r>
      <w:r w:rsidRPr="00355EF3">
        <w:rPr>
          <w:rFonts w:cs="Times New Roman"/>
          <w:szCs w:val="22"/>
        </w:rPr>
        <w:t xml:space="preserve"> Liu</w:t>
      </w:r>
      <w:r w:rsidR="00740A5C" w:rsidRPr="00355EF3">
        <w:rPr>
          <w:rFonts w:cs="Times New Roman"/>
          <w:szCs w:val="22"/>
        </w:rPr>
        <w:t>,</w:t>
      </w:r>
      <w:r w:rsidRPr="00355EF3">
        <w:rPr>
          <w:rFonts w:cs="Times New Roman"/>
          <w:szCs w:val="22"/>
        </w:rPr>
        <w:t xml:space="preserve"> (2004). “The Importance of Child Care In Economic Development: A Comparative Analysis of Regional Economic Linkage”, Paper Presented at the Am. Collegiate Society of Planners, Portland, Or., pp. 97-103.</w:t>
      </w:r>
      <w:r w:rsidR="009F66D1" w:rsidRPr="00355EF3">
        <w:rPr>
          <w:rFonts w:cs="Times New Roman"/>
          <w:color w:val="000000"/>
          <w:szCs w:val="22"/>
          <w:lang w:eastAsia="en-CA"/>
        </w:rPr>
        <w:t xml:space="preserve"> </w:t>
      </w:r>
    </w:p>
    <w:p w:rsidR="009F66D1" w:rsidRPr="00355EF3" w:rsidRDefault="009F66D1" w:rsidP="009F66D1">
      <w:pPr>
        <w:ind w:left="706" w:hanging="706"/>
        <w:rPr>
          <w:rFonts w:cs="Times New Roman"/>
          <w:color w:val="000000"/>
          <w:szCs w:val="22"/>
          <w:lang w:eastAsia="en-CA"/>
        </w:rPr>
      </w:pPr>
      <w:r w:rsidRPr="00355EF3">
        <w:rPr>
          <w:rFonts w:cs="Times New Roman"/>
          <w:color w:val="000000"/>
          <w:szCs w:val="22"/>
          <w:lang w:eastAsia="en-CA"/>
        </w:rPr>
        <w:t>Weikart, D., J. Bond and J. McNeil (1978). The Ypsilanti Perry Preschool Project: Preschool years and Longitudinal Results Through Fourth Grade.” Ypsilanti, MI: High/Scope Press.</w:t>
      </w:r>
    </w:p>
    <w:p w:rsidR="008F2188" w:rsidRPr="00355EF3" w:rsidRDefault="008F2188" w:rsidP="004B09CC">
      <w:pPr>
        <w:ind w:left="709" w:hanging="709"/>
        <w:rPr>
          <w:rFonts w:cs="Times New Roman"/>
          <w:szCs w:val="22"/>
        </w:rPr>
      </w:pPr>
      <w:r w:rsidRPr="00355EF3">
        <w:rPr>
          <w:rFonts w:cs="Times New Roman"/>
          <w:szCs w:val="22"/>
        </w:rPr>
        <w:t>Wrohlich, K</w:t>
      </w:r>
      <w:r w:rsidR="00D86D63" w:rsidRPr="00355EF3">
        <w:rPr>
          <w:rFonts w:cs="Times New Roman"/>
          <w:szCs w:val="22"/>
        </w:rPr>
        <w:t>.,</w:t>
      </w:r>
      <w:r w:rsidRPr="00355EF3">
        <w:rPr>
          <w:rFonts w:cs="Times New Roman"/>
          <w:szCs w:val="22"/>
        </w:rPr>
        <w:t xml:space="preserve"> (2004). </w:t>
      </w:r>
      <w:r w:rsidR="0063792A" w:rsidRPr="00355EF3">
        <w:rPr>
          <w:rFonts w:cs="Times New Roman"/>
          <w:szCs w:val="22"/>
        </w:rPr>
        <w:t>“</w:t>
      </w:r>
      <w:r w:rsidRPr="00355EF3">
        <w:rPr>
          <w:rFonts w:cs="Times New Roman"/>
          <w:szCs w:val="22"/>
        </w:rPr>
        <w:t>Child Care Costs and Mothers’ Labor Supply: An Empirical Analysis for Germany</w:t>
      </w:r>
      <w:r w:rsidR="0063792A" w:rsidRPr="00355EF3">
        <w:rPr>
          <w:rFonts w:cs="Times New Roman"/>
          <w:szCs w:val="22"/>
        </w:rPr>
        <w:t>”</w:t>
      </w:r>
      <w:r w:rsidRPr="00355EF3">
        <w:rPr>
          <w:rFonts w:cs="Times New Roman"/>
          <w:szCs w:val="22"/>
        </w:rPr>
        <w:t xml:space="preserve">, </w:t>
      </w:r>
      <w:r w:rsidRPr="00355EF3">
        <w:rPr>
          <w:rFonts w:cs="Times New Roman"/>
          <w:i/>
          <w:szCs w:val="22"/>
        </w:rPr>
        <w:t>Discussion Papers</w:t>
      </w:r>
      <w:r w:rsidRPr="00355EF3">
        <w:rPr>
          <w:rFonts w:cs="Times New Roman"/>
          <w:szCs w:val="22"/>
        </w:rPr>
        <w:t>, DIW Berlin 412, German Institute for Economic Research, pp. 1-27.</w:t>
      </w:r>
    </w:p>
    <w:p w:rsidR="00037E2D" w:rsidRPr="00B15E76" w:rsidRDefault="003E5587" w:rsidP="00B15E76">
      <w:pPr>
        <w:pStyle w:val="Heading2"/>
        <w:spacing w:before="0"/>
        <w:rPr>
          <w:szCs w:val="28"/>
        </w:rPr>
      </w:pPr>
      <w:bookmarkStart w:id="20" w:name="_Toc204739217"/>
      <w:r w:rsidRPr="005873F4">
        <w:rPr>
          <w:sz w:val="24"/>
          <w:szCs w:val="24"/>
          <w:lang w:val="fr-CA"/>
        </w:rPr>
        <w:br w:type="page"/>
      </w:r>
      <w:bookmarkStart w:id="21" w:name="_Toc283303674"/>
      <w:bookmarkEnd w:id="20"/>
      <w:r w:rsidR="00B15E76">
        <w:rPr>
          <w:szCs w:val="28"/>
          <w:lang w:val="fr-CA"/>
        </w:rPr>
        <w:lastRenderedPageBreak/>
        <w:t>1</w:t>
      </w:r>
      <w:r w:rsidR="00DF03E3">
        <w:rPr>
          <w:szCs w:val="28"/>
          <w:lang w:val="fr-CA"/>
        </w:rPr>
        <w:t>1</w:t>
      </w:r>
      <w:r w:rsidR="00F31F0A" w:rsidRPr="00B15E76">
        <w:rPr>
          <w:szCs w:val="28"/>
          <w:lang w:val="fr-CA"/>
        </w:rPr>
        <w:t xml:space="preserve">. </w:t>
      </w:r>
      <w:r w:rsidR="00037E2D" w:rsidRPr="00B15E76">
        <w:rPr>
          <w:szCs w:val="28"/>
          <w:lang w:val="fr-CA"/>
        </w:rPr>
        <w:t>G</w:t>
      </w:r>
      <w:r w:rsidR="00037E2D" w:rsidRPr="00B15E76">
        <w:rPr>
          <w:szCs w:val="28"/>
        </w:rPr>
        <w:t>lossary of Terms</w:t>
      </w:r>
      <w:bookmarkEnd w:id="21"/>
    </w:p>
    <w:p w:rsidR="00037E2D" w:rsidRDefault="00037E2D" w:rsidP="00037E2D">
      <w:pPr>
        <w:pStyle w:val="NormalWeb"/>
        <w:spacing w:before="0" w:beforeAutospacing="0" w:after="120" w:afterAutospacing="0"/>
        <w:ind w:left="709" w:hanging="709"/>
        <w:rPr>
          <w:sz w:val="22"/>
          <w:szCs w:val="22"/>
        </w:rPr>
      </w:pPr>
      <w:r w:rsidRPr="00517FFD">
        <w:rPr>
          <w:b/>
          <w:bCs/>
          <w:sz w:val="22"/>
          <w:szCs w:val="22"/>
        </w:rPr>
        <w:t>Assumptions</w:t>
      </w:r>
      <w:r w:rsidRPr="00517FFD">
        <w:rPr>
          <w:sz w:val="22"/>
          <w:szCs w:val="22"/>
        </w:rPr>
        <w:t xml:space="preserve"> - Judgements concerning unknown factors and the future which are made in analyzing alternative courses of action. Assumptions are made to support and reasonably limit the scope of the analysis.</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 xml:space="preserve">Direct </w:t>
      </w:r>
      <w:r>
        <w:rPr>
          <w:b/>
          <w:bCs/>
          <w:sz w:val="22"/>
          <w:szCs w:val="22"/>
        </w:rPr>
        <w:t>E</w:t>
      </w:r>
      <w:r w:rsidRPr="00517FFD">
        <w:rPr>
          <w:b/>
          <w:bCs/>
          <w:sz w:val="22"/>
          <w:szCs w:val="22"/>
        </w:rPr>
        <w:t>ffects -</w:t>
      </w:r>
      <w:r w:rsidRPr="00517FFD">
        <w:rPr>
          <w:sz w:val="22"/>
          <w:szCs w:val="22"/>
        </w:rPr>
        <w:t xml:space="preserve"> Typically measured in dollars of output or number of employees stimulated by the initial demand for a sector’s services. </w:t>
      </w:r>
    </w:p>
    <w:p w:rsidR="00037E2D" w:rsidRPr="00517FFD" w:rsidRDefault="00037E2D" w:rsidP="00037E2D">
      <w:pPr>
        <w:pStyle w:val="NormalWeb"/>
        <w:spacing w:before="0" w:beforeAutospacing="0" w:after="120" w:afterAutospacing="0"/>
        <w:ind w:left="709" w:hanging="709"/>
        <w:rPr>
          <w:sz w:val="22"/>
          <w:szCs w:val="22"/>
        </w:rPr>
      </w:pPr>
      <w:r w:rsidRPr="00517FFD">
        <w:rPr>
          <w:b/>
          <w:sz w:val="22"/>
          <w:szCs w:val="22"/>
        </w:rPr>
        <w:t>Economy -</w:t>
      </w:r>
      <w:r w:rsidRPr="00517FFD">
        <w:rPr>
          <w:sz w:val="22"/>
          <w:szCs w:val="22"/>
        </w:rPr>
        <w:t xml:space="preserve"> The real</w:t>
      </w:r>
      <w:r>
        <w:rPr>
          <w:sz w:val="22"/>
          <w:szCs w:val="22"/>
        </w:rPr>
        <w:t>is</w:t>
      </w:r>
      <w:r w:rsidRPr="00517FFD">
        <w:rPr>
          <w:sz w:val="22"/>
          <w:szCs w:val="22"/>
        </w:rPr>
        <w:t>ed system of human activities related to the production, distribution, exchange, and consumption of goods and services of a country or other area.</w:t>
      </w:r>
    </w:p>
    <w:p w:rsidR="00037E2D" w:rsidRDefault="00037E2D" w:rsidP="00037E2D">
      <w:pPr>
        <w:pStyle w:val="NormalWeb"/>
        <w:spacing w:before="0" w:beforeAutospacing="0" w:after="120" w:afterAutospacing="0"/>
        <w:ind w:left="709" w:hanging="709"/>
        <w:rPr>
          <w:sz w:val="22"/>
          <w:szCs w:val="22"/>
        </w:rPr>
      </w:pPr>
      <w:r w:rsidRPr="00517FFD">
        <w:rPr>
          <w:b/>
          <w:bCs/>
          <w:sz w:val="22"/>
          <w:szCs w:val="22"/>
        </w:rPr>
        <w:t>Estimation</w:t>
      </w:r>
      <w:r w:rsidRPr="00517FFD">
        <w:rPr>
          <w:sz w:val="22"/>
          <w:szCs w:val="22"/>
        </w:rPr>
        <w:t xml:space="preserve"> - A method of quantifying costs or benefits, in which each organ</w:t>
      </w:r>
      <w:r>
        <w:rPr>
          <w:sz w:val="22"/>
          <w:szCs w:val="22"/>
        </w:rPr>
        <w:t>is</w:t>
      </w:r>
      <w:r w:rsidRPr="00517FFD">
        <w:rPr>
          <w:sz w:val="22"/>
          <w:szCs w:val="22"/>
        </w:rPr>
        <w:t>ation involved in system development, operation, and use estimates, averages, and projects its costs. Sometimes referred to as the bottom-up method.</w:t>
      </w:r>
    </w:p>
    <w:p w:rsidR="00037E2D" w:rsidRPr="00686FD5" w:rsidRDefault="00037E2D" w:rsidP="00037E2D">
      <w:pPr>
        <w:pStyle w:val="NormalWeb"/>
        <w:spacing w:before="0" w:beforeAutospacing="0" w:after="120" w:afterAutospacing="0"/>
        <w:ind w:left="709" w:hanging="709"/>
        <w:rPr>
          <w:sz w:val="22"/>
          <w:szCs w:val="22"/>
        </w:rPr>
      </w:pPr>
      <w:r>
        <w:rPr>
          <w:b/>
          <w:sz w:val="22"/>
          <w:szCs w:val="22"/>
        </w:rPr>
        <w:t xml:space="preserve">GDP – </w:t>
      </w:r>
      <w:r>
        <w:rPr>
          <w:sz w:val="22"/>
          <w:szCs w:val="22"/>
        </w:rPr>
        <w:t>Gross Domestic Product.</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 xml:space="preserve">Indirect </w:t>
      </w:r>
      <w:r>
        <w:rPr>
          <w:b/>
          <w:bCs/>
          <w:sz w:val="22"/>
          <w:szCs w:val="22"/>
        </w:rPr>
        <w:t>E</w:t>
      </w:r>
      <w:r w:rsidRPr="00517FFD">
        <w:rPr>
          <w:b/>
          <w:bCs/>
          <w:sz w:val="22"/>
          <w:szCs w:val="22"/>
        </w:rPr>
        <w:t>ffects -</w:t>
      </w:r>
      <w:r w:rsidRPr="00517FFD">
        <w:rPr>
          <w:sz w:val="22"/>
          <w:szCs w:val="22"/>
        </w:rPr>
        <w:t xml:space="preserve"> Counts the multiple rounds of inter-industry purchases spurred by child care industry spending. Child care businesses purchase food and supplies from other industries, in turn stimulating output in those industries.</w:t>
      </w:r>
      <w:r w:rsidRPr="005873F4">
        <w:rPr>
          <w:sz w:val="22"/>
          <w:szCs w:val="22"/>
        </w:rPr>
        <w:t xml:space="preserve">  </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 xml:space="preserve">Induced </w:t>
      </w:r>
      <w:r>
        <w:rPr>
          <w:b/>
          <w:bCs/>
          <w:sz w:val="22"/>
          <w:szCs w:val="22"/>
        </w:rPr>
        <w:t>E</w:t>
      </w:r>
      <w:r w:rsidRPr="00517FFD">
        <w:rPr>
          <w:b/>
          <w:bCs/>
          <w:sz w:val="22"/>
          <w:szCs w:val="22"/>
        </w:rPr>
        <w:t>ffects -</w:t>
      </w:r>
      <w:r w:rsidRPr="00517FFD">
        <w:rPr>
          <w:sz w:val="22"/>
          <w:szCs w:val="22"/>
        </w:rPr>
        <w:t xml:space="preserve"> Capture</w:t>
      </w:r>
      <w:r>
        <w:rPr>
          <w:sz w:val="22"/>
          <w:szCs w:val="22"/>
        </w:rPr>
        <w:t>s</w:t>
      </w:r>
      <w:r w:rsidRPr="00517FFD">
        <w:rPr>
          <w:sz w:val="22"/>
          <w:szCs w:val="22"/>
        </w:rPr>
        <w:t xml:space="preserve"> the impact of household spending. Employees spend their wages in the larger economy and these expenditures generate demand in other industry sectors (housing, groceries, etc.).</w:t>
      </w:r>
    </w:p>
    <w:p w:rsidR="00037E2D" w:rsidRDefault="00037E2D" w:rsidP="00037E2D">
      <w:pPr>
        <w:pStyle w:val="NormalWeb"/>
        <w:spacing w:before="0" w:beforeAutospacing="0" w:after="120" w:afterAutospacing="0"/>
        <w:ind w:left="709" w:hanging="709"/>
        <w:rPr>
          <w:sz w:val="22"/>
          <w:szCs w:val="22"/>
        </w:rPr>
      </w:pPr>
      <w:r w:rsidRPr="00517FFD">
        <w:rPr>
          <w:b/>
          <w:bCs/>
          <w:sz w:val="22"/>
          <w:szCs w:val="22"/>
        </w:rPr>
        <w:t>Investment</w:t>
      </w:r>
      <w:r w:rsidRPr="00517FFD">
        <w:rPr>
          <w:sz w:val="22"/>
          <w:szCs w:val="22"/>
        </w:rPr>
        <w:t xml:space="preserve"> - An expenditure of funds to acquire a new capability or capacity.</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 xml:space="preserve">Participation </w:t>
      </w:r>
      <w:r>
        <w:rPr>
          <w:b/>
          <w:bCs/>
          <w:sz w:val="22"/>
          <w:szCs w:val="22"/>
        </w:rPr>
        <w:t>R</w:t>
      </w:r>
      <w:r w:rsidRPr="00517FFD">
        <w:rPr>
          <w:b/>
          <w:bCs/>
          <w:sz w:val="22"/>
          <w:szCs w:val="22"/>
        </w:rPr>
        <w:t>ate</w:t>
      </w:r>
      <w:r w:rsidRPr="00517FFD">
        <w:rPr>
          <w:sz w:val="22"/>
          <w:szCs w:val="22"/>
        </w:rPr>
        <w:t xml:space="preserve"> - Refers to the percentage of working-age individuals (the 16-65s) who are either working or consider themelves to be available for paid work</w:t>
      </w:r>
    </w:p>
    <w:p w:rsidR="00037E2D" w:rsidRDefault="00037E2D" w:rsidP="00037E2D">
      <w:pPr>
        <w:pStyle w:val="NormalWeb"/>
        <w:spacing w:before="0" w:beforeAutospacing="0" w:after="120" w:afterAutospacing="0"/>
        <w:ind w:left="709" w:hanging="709"/>
        <w:rPr>
          <w:sz w:val="22"/>
          <w:szCs w:val="22"/>
        </w:rPr>
      </w:pPr>
      <w:r w:rsidRPr="00517FFD">
        <w:rPr>
          <w:b/>
          <w:bCs/>
          <w:sz w:val="22"/>
          <w:szCs w:val="22"/>
        </w:rPr>
        <w:t>Simulation</w:t>
      </w:r>
      <w:r w:rsidRPr="00517FFD">
        <w:rPr>
          <w:sz w:val="22"/>
          <w:szCs w:val="22"/>
        </w:rPr>
        <w:t xml:space="preserve"> - A method of quantifying costs or benefits in which the process is analyzed and simulated to obtain costs.</w:t>
      </w:r>
    </w:p>
    <w:p w:rsidR="00007BD1" w:rsidRPr="00517FFD" w:rsidRDefault="00007BD1" w:rsidP="00037E2D">
      <w:pPr>
        <w:pStyle w:val="NormalWeb"/>
        <w:spacing w:before="0" w:beforeAutospacing="0" w:after="120" w:afterAutospacing="0"/>
        <w:ind w:left="709" w:hanging="709"/>
        <w:rPr>
          <w:sz w:val="22"/>
          <w:szCs w:val="22"/>
        </w:rPr>
      </w:pPr>
      <w:r w:rsidRPr="00007BD1">
        <w:rPr>
          <w:b/>
        </w:rPr>
        <w:t>Supplementary Labour Income</w:t>
      </w:r>
      <w:r w:rsidRPr="00517FFD">
        <w:rPr>
          <w:sz w:val="22"/>
          <w:szCs w:val="22"/>
        </w:rPr>
        <w:t xml:space="preserve"> - A</w:t>
      </w:r>
      <w:r>
        <w:t xml:space="preserve"> term used to represent non-wage labour costs to employers, such as employers payments for Employment Insurance, the Canada Pension Plan and fringe benefits</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Type I multiplier -</w:t>
      </w:r>
      <w:r w:rsidRPr="00517FFD">
        <w:rPr>
          <w:sz w:val="22"/>
          <w:szCs w:val="22"/>
        </w:rPr>
        <w:t xml:space="preserve"> Includes the direct effects of the child care sector and the indirect effects of inter-industry purchases.</w:t>
      </w:r>
    </w:p>
    <w:p w:rsidR="00037E2D" w:rsidRPr="00517FFD" w:rsidRDefault="00037E2D" w:rsidP="00037E2D">
      <w:pPr>
        <w:pStyle w:val="NormalWeb"/>
        <w:spacing w:before="0" w:beforeAutospacing="0" w:after="120" w:afterAutospacing="0"/>
        <w:ind w:left="709" w:hanging="709"/>
        <w:rPr>
          <w:sz w:val="22"/>
          <w:szCs w:val="22"/>
        </w:rPr>
      </w:pPr>
      <w:r w:rsidRPr="00517FFD">
        <w:rPr>
          <w:b/>
          <w:bCs/>
          <w:sz w:val="22"/>
          <w:szCs w:val="22"/>
        </w:rPr>
        <w:t>Type II multiplier -</w:t>
      </w:r>
      <w:r w:rsidRPr="00517FFD">
        <w:rPr>
          <w:sz w:val="22"/>
          <w:szCs w:val="22"/>
        </w:rPr>
        <w:t xml:space="preserve"> Includes direct effects of the child care sector, indirect effects of inter-industry purchases, and induced effects generated by household and worker expenditures. </w:t>
      </w:r>
    </w:p>
    <w:p w:rsidR="00363C97" w:rsidRDefault="00363C97" w:rsidP="009240C8">
      <w:pPr>
        <w:pStyle w:val="NormalWeb"/>
        <w:spacing w:before="0" w:beforeAutospacing="0" w:after="120" w:afterAutospacing="0"/>
        <w:rPr>
          <w:sz w:val="22"/>
          <w:szCs w:val="22"/>
        </w:rPr>
      </w:pPr>
    </w:p>
    <w:sectPr w:rsidR="00363C97" w:rsidSect="007D1656">
      <w:headerReference w:type="default" r:id="rId18"/>
      <w:footerReference w:type="default" r:id="rId19"/>
      <w:pgSz w:w="12240" w:h="15840"/>
      <w:pgMar w:top="1247" w:right="1701" w:bottom="1247" w:left="1701" w:header="709" w:footer="2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00" w:rsidRDefault="003E3300">
      <w:pPr>
        <w:spacing w:after="0"/>
      </w:pPr>
      <w:r>
        <w:separator/>
      </w:r>
    </w:p>
  </w:endnote>
  <w:endnote w:type="continuationSeparator" w:id="0">
    <w:p w:rsidR="003E3300" w:rsidRDefault="003E33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Omega">
    <w:altName w:val="Segoe UI"/>
    <w:charset w:val="00"/>
    <w:family w:val="swiss"/>
    <w:pitch w:val="variable"/>
    <w:sig w:usb0="00000001"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26" w:rsidRDefault="00042826">
    <w:pPr>
      <w:pStyle w:val="Footer"/>
      <w:pBdr>
        <w:top w:val="single" w:sz="8" w:space="1" w:color="auto"/>
      </w:pBdr>
      <w:jc w:val="right"/>
      <w:rPr>
        <w:sz w:val="20"/>
      </w:rPr>
    </w:pPr>
    <w:r>
      <w:rPr>
        <w:rFonts w:ascii="CG Omega" w:hAnsi="CG Omega"/>
        <w:position w:val="10"/>
        <w:sz w:val="36"/>
        <w:szCs w:val="36"/>
        <w:vertAlign w:val="superscript"/>
      </w:rPr>
      <w:t xml:space="preserve">The Centre for Spatial Economics   </w:t>
    </w:r>
    <w:r w:rsidR="00C247C0">
      <w:rPr>
        <w:noProof/>
        <w:sz w:val="20"/>
        <w:lang w:eastAsia="en-CA"/>
      </w:rPr>
      <w:drawing>
        <wp:inline distT="0" distB="0" distL="0" distR="0">
          <wp:extent cx="333375" cy="333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33375" cy="3333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26" w:rsidRPr="00604AA4" w:rsidRDefault="00042826" w:rsidP="007D1656">
    <w:pPr>
      <w:pStyle w:val="Footer"/>
      <w:pBdr>
        <w:top w:val="single" w:sz="8" w:space="0" w:color="auto"/>
      </w:pBdr>
      <w:jc w:val="right"/>
      <w:rPr>
        <w:sz w:val="20"/>
      </w:rPr>
    </w:pPr>
    <w:r>
      <w:rPr>
        <w:rFonts w:ascii="CG Omega" w:hAnsi="CG Omega"/>
        <w:position w:val="10"/>
        <w:sz w:val="36"/>
        <w:szCs w:val="36"/>
        <w:vertAlign w:val="superscript"/>
      </w:rPr>
      <w:t xml:space="preserve">The Centre for Spatial Economics   </w:t>
    </w:r>
    <w:r w:rsidR="00C247C0">
      <w:rPr>
        <w:noProof/>
        <w:sz w:val="20"/>
        <w:lang w:eastAsia="en-CA"/>
      </w:rPr>
      <w:drawing>
        <wp:inline distT="0" distB="0" distL="0" distR="0">
          <wp:extent cx="333375" cy="333375"/>
          <wp:effectExtent l="19050" t="0" r="9525"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33375" cy="3333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00" w:rsidRDefault="003E3300">
      <w:pPr>
        <w:spacing w:after="0"/>
      </w:pPr>
      <w:r>
        <w:separator/>
      </w:r>
    </w:p>
  </w:footnote>
  <w:footnote w:type="continuationSeparator" w:id="0">
    <w:p w:rsidR="003E3300" w:rsidRDefault="003E3300">
      <w:pPr>
        <w:spacing w:after="0"/>
      </w:pPr>
      <w:r>
        <w:continuationSeparator/>
      </w:r>
    </w:p>
  </w:footnote>
  <w:footnote w:id="1">
    <w:p w:rsidR="00007BD1" w:rsidRDefault="00007BD1">
      <w:pPr>
        <w:pStyle w:val="FootnoteText"/>
      </w:pPr>
      <w:r>
        <w:rPr>
          <w:rStyle w:val="FootnoteReference"/>
        </w:rPr>
        <w:footnoteRef/>
      </w:r>
      <w:r>
        <w:t xml:space="preserve"> </w:t>
      </w:r>
      <w:r w:rsidR="003A3922">
        <w:t xml:space="preserve">This estimate includes wages, salaries and supplementary labour income. </w:t>
      </w:r>
      <w:r>
        <w:t xml:space="preserve">Supplementary </w:t>
      </w:r>
      <w:r w:rsidR="003A3922">
        <w:t>l</w:t>
      </w:r>
      <w:r>
        <w:t xml:space="preserve">abour </w:t>
      </w:r>
      <w:r w:rsidR="003A3922">
        <w:t>i</w:t>
      </w:r>
      <w:r>
        <w:t>ncome is a term used to represent non-wage labour costs to employers, such as employers payments for Employment Insurance</w:t>
      </w:r>
      <w:r w:rsidR="0037129F">
        <w:t xml:space="preserve"> (EI)</w:t>
      </w:r>
      <w:r>
        <w:t xml:space="preserve">, the Canada Pension Plan </w:t>
      </w:r>
      <w:r w:rsidR="0037129F">
        <w:t xml:space="preserve">(CPP) </w:t>
      </w:r>
      <w:r>
        <w:t>and fringe benefits.</w:t>
      </w:r>
    </w:p>
  </w:footnote>
  <w:footnote w:id="2">
    <w:p w:rsidR="002C3DB1" w:rsidRPr="00B21231" w:rsidRDefault="002C3DB1" w:rsidP="002C3DB1">
      <w:pPr>
        <w:pStyle w:val="FootnoteText"/>
        <w:spacing w:after="60"/>
        <w:rPr>
          <w:lang w:val="en-US"/>
        </w:rPr>
      </w:pPr>
      <w:r>
        <w:rPr>
          <w:rStyle w:val="FootnoteReference"/>
        </w:rPr>
        <w:footnoteRef/>
      </w:r>
      <w:r>
        <w:t xml:space="preserve"> Karoly and Bigelow (</w:t>
      </w:r>
      <w:r w:rsidRPr="00BA46C3">
        <w:t>2005</w:t>
      </w:r>
      <w:r>
        <w:t>)</w:t>
      </w:r>
      <w:r w:rsidRPr="00BA46C3">
        <w:t xml:space="preserve">; </w:t>
      </w:r>
      <w:r>
        <w:t>Borman and Hewes</w:t>
      </w:r>
      <w:r w:rsidRPr="00BA46C3">
        <w:t xml:space="preserve"> </w:t>
      </w:r>
      <w:r>
        <w:t>(</w:t>
      </w:r>
      <w:r w:rsidRPr="00BA46C3">
        <w:t>2002)</w:t>
      </w:r>
      <w:r w:rsidR="00134FC6">
        <w:t>;</w:t>
      </w:r>
      <w:r>
        <w:t xml:space="preserve"> </w:t>
      </w:r>
      <w:r w:rsidRPr="00BA46C3">
        <w:t xml:space="preserve">Jarousse </w:t>
      </w:r>
      <w:r w:rsidRPr="00BC6A52">
        <w:rPr>
          <w:i/>
          <w:iCs/>
        </w:rPr>
        <w:t>et al.</w:t>
      </w:r>
      <w:r w:rsidRPr="00BA46C3">
        <w:t xml:space="preserve"> </w:t>
      </w:r>
      <w:r>
        <w:t>(</w:t>
      </w:r>
      <w:r w:rsidRPr="00BA46C3">
        <w:t>1992</w:t>
      </w:r>
      <w:r w:rsidR="00134FC6">
        <w:t>)</w:t>
      </w:r>
      <w:r>
        <w:t>.</w:t>
      </w:r>
    </w:p>
  </w:footnote>
  <w:footnote w:id="3">
    <w:p w:rsidR="002C3DB1" w:rsidRPr="00B21231" w:rsidRDefault="002C3DB1" w:rsidP="002C3DB1">
      <w:pPr>
        <w:pStyle w:val="FootnoteText"/>
        <w:spacing w:after="60"/>
        <w:rPr>
          <w:lang w:val="en-US"/>
        </w:rPr>
      </w:pPr>
      <w:r>
        <w:rPr>
          <w:rStyle w:val="FootnoteReference"/>
        </w:rPr>
        <w:footnoteRef/>
      </w:r>
      <w:r>
        <w:t xml:space="preserve"> </w:t>
      </w:r>
      <w:r w:rsidRPr="00F45206">
        <w:t xml:space="preserve">Loeb </w:t>
      </w:r>
      <w:r w:rsidRPr="00BC6A52">
        <w:rPr>
          <w:i/>
          <w:iCs/>
        </w:rPr>
        <w:t>et al.</w:t>
      </w:r>
      <w:r w:rsidRPr="00F45206">
        <w:t xml:space="preserve"> </w:t>
      </w:r>
      <w:r>
        <w:t>(</w:t>
      </w:r>
      <w:r w:rsidRPr="00F45206">
        <w:t>2007</w:t>
      </w:r>
      <w:r>
        <w:t>)</w:t>
      </w:r>
      <w:r w:rsidRPr="00F45206">
        <w:t>;</w:t>
      </w:r>
      <w:r w:rsidR="006333EE" w:rsidRPr="006333EE">
        <w:t xml:space="preserve"> </w:t>
      </w:r>
      <w:r w:rsidR="006333EE">
        <w:t>Goodman and Sianesi</w:t>
      </w:r>
      <w:r w:rsidR="006333EE" w:rsidRPr="00F45206">
        <w:t xml:space="preserve"> </w:t>
      </w:r>
      <w:r w:rsidR="006333EE">
        <w:t>(</w:t>
      </w:r>
      <w:r w:rsidR="006333EE" w:rsidRPr="00F45206">
        <w:t>2005</w:t>
      </w:r>
      <w:r w:rsidR="006333EE">
        <w:t>);</w:t>
      </w:r>
      <w:r w:rsidRPr="00F45206">
        <w:t xml:space="preserve"> </w:t>
      </w:r>
      <w:r>
        <w:t>Gormley and Gayer</w:t>
      </w:r>
      <w:r w:rsidRPr="00F45206">
        <w:t xml:space="preserve"> </w:t>
      </w:r>
      <w:r>
        <w:t>(</w:t>
      </w:r>
      <w:r w:rsidRPr="00F45206">
        <w:t>2005</w:t>
      </w:r>
      <w:r>
        <w:t>)</w:t>
      </w:r>
      <w:r w:rsidRPr="00F45206">
        <w:t xml:space="preserve">; Gormley </w:t>
      </w:r>
      <w:r w:rsidRPr="00BC6A52">
        <w:rPr>
          <w:i/>
          <w:iCs/>
        </w:rPr>
        <w:t>et al.</w:t>
      </w:r>
      <w:r w:rsidRPr="00F45206">
        <w:t xml:space="preserve"> </w:t>
      </w:r>
      <w:r>
        <w:t>(</w:t>
      </w:r>
      <w:r w:rsidRPr="00F45206">
        <w:t>2005</w:t>
      </w:r>
      <w:r>
        <w:t xml:space="preserve">); </w:t>
      </w:r>
      <w:r w:rsidR="006333EE" w:rsidRPr="00F45206">
        <w:t xml:space="preserve">Magnuson </w:t>
      </w:r>
      <w:r w:rsidR="006333EE" w:rsidRPr="00BC6A52">
        <w:rPr>
          <w:i/>
          <w:iCs/>
        </w:rPr>
        <w:t>et al.</w:t>
      </w:r>
      <w:r w:rsidR="006333EE" w:rsidRPr="00F45206">
        <w:t xml:space="preserve"> </w:t>
      </w:r>
      <w:r w:rsidR="006333EE">
        <w:t>(</w:t>
      </w:r>
      <w:r w:rsidR="006333EE" w:rsidRPr="00F45206">
        <w:t>2005</w:t>
      </w:r>
      <w:r w:rsidR="006333EE">
        <w:t>)</w:t>
      </w:r>
      <w:r w:rsidR="006333EE" w:rsidRPr="00F45206">
        <w:t>;</w:t>
      </w:r>
      <w:r w:rsidR="006333EE">
        <w:t xml:space="preserve"> </w:t>
      </w:r>
      <w:r w:rsidRPr="00F45206">
        <w:t xml:space="preserve">Leuven </w:t>
      </w:r>
      <w:r w:rsidRPr="00BC6A52">
        <w:rPr>
          <w:i/>
          <w:iCs/>
        </w:rPr>
        <w:t>et al.</w:t>
      </w:r>
      <w:r w:rsidRPr="00F45206">
        <w:t xml:space="preserve"> </w:t>
      </w:r>
      <w:r>
        <w:t>(</w:t>
      </w:r>
      <w:r w:rsidRPr="00F45206">
        <w:t>2004</w:t>
      </w:r>
      <w:r>
        <w:t xml:space="preserve">); </w:t>
      </w:r>
      <w:r w:rsidR="006333EE">
        <w:t>NICHD (</w:t>
      </w:r>
      <w:r w:rsidR="006333EE" w:rsidRPr="00F45206">
        <w:t>2003</w:t>
      </w:r>
      <w:r w:rsidR="006333EE">
        <w:t>b); Barnett</w:t>
      </w:r>
      <w:r w:rsidR="006333EE" w:rsidRPr="00F45206">
        <w:t xml:space="preserve"> </w:t>
      </w:r>
      <w:r w:rsidR="006333EE">
        <w:t>(</w:t>
      </w:r>
      <w:r w:rsidR="006333EE" w:rsidRPr="00F45206">
        <w:t>2001</w:t>
      </w:r>
      <w:r w:rsidR="006333EE">
        <w:t>)</w:t>
      </w:r>
      <w:r w:rsidR="006333EE" w:rsidRPr="00F45206">
        <w:t xml:space="preserve">; Campbell </w:t>
      </w:r>
      <w:r w:rsidR="006333EE" w:rsidRPr="00BC6A52">
        <w:rPr>
          <w:i/>
          <w:iCs/>
        </w:rPr>
        <w:t>et al.</w:t>
      </w:r>
      <w:r w:rsidR="006333EE" w:rsidRPr="00F45206">
        <w:t xml:space="preserve"> </w:t>
      </w:r>
      <w:r w:rsidR="006333EE">
        <w:t>(</w:t>
      </w:r>
      <w:r w:rsidR="006333EE" w:rsidRPr="00F45206">
        <w:t>2001</w:t>
      </w:r>
      <w:r w:rsidR="006333EE">
        <w:t xml:space="preserve">); </w:t>
      </w:r>
      <w:r w:rsidR="006333EE" w:rsidRPr="00F45206">
        <w:t>Peisner-Feinb</w:t>
      </w:r>
      <w:r w:rsidR="006333EE">
        <w:t>erg</w:t>
      </w:r>
      <w:r w:rsidR="006333EE" w:rsidRPr="00F45206">
        <w:t xml:space="preserve"> </w:t>
      </w:r>
      <w:r w:rsidR="006333EE">
        <w:t>(</w:t>
      </w:r>
      <w:r w:rsidR="006333EE" w:rsidRPr="00F45206">
        <w:t>1999</w:t>
      </w:r>
      <w:r w:rsidR="006333EE">
        <w:t>); Reynolds</w:t>
      </w:r>
      <w:r w:rsidR="006333EE" w:rsidRPr="00F45206">
        <w:t xml:space="preserve"> </w:t>
      </w:r>
      <w:r w:rsidR="006333EE">
        <w:t>(</w:t>
      </w:r>
      <w:r w:rsidR="006333EE" w:rsidRPr="00F45206">
        <w:t>1999</w:t>
      </w:r>
      <w:r w:rsidR="006333EE">
        <w:t xml:space="preserve">); </w:t>
      </w:r>
      <w:r w:rsidR="006333EE" w:rsidRPr="003A3D80">
        <w:rPr>
          <w:rFonts w:cs="Times New Roman"/>
          <w:szCs w:val="22"/>
        </w:rPr>
        <w:t>Currie and Duncan (1995)</w:t>
      </w:r>
      <w:r w:rsidR="006333EE">
        <w:rPr>
          <w:rFonts w:cs="Times New Roman"/>
          <w:szCs w:val="22"/>
        </w:rPr>
        <w:t xml:space="preserve">; </w:t>
      </w:r>
      <w:r>
        <w:t>Andersson</w:t>
      </w:r>
      <w:r w:rsidRPr="00F45206">
        <w:t xml:space="preserve"> </w:t>
      </w:r>
      <w:r>
        <w:t>(</w:t>
      </w:r>
      <w:r w:rsidRPr="00F45206">
        <w:t>1992</w:t>
      </w:r>
      <w:r>
        <w:t>); Andersson</w:t>
      </w:r>
      <w:r w:rsidRPr="00F45206">
        <w:t xml:space="preserve"> </w:t>
      </w:r>
      <w:r>
        <w:t>(</w:t>
      </w:r>
      <w:r w:rsidRPr="00F45206">
        <w:t>1989</w:t>
      </w:r>
      <w:r>
        <w:t xml:space="preserve">); </w:t>
      </w:r>
      <w:r w:rsidR="006333EE">
        <w:t>Belsky</w:t>
      </w:r>
      <w:r w:rsidR="006333EE" w:rsidRPr="00F45206">
        <w:t xml:space="preserve"> </w:t>
      </w:r>
      <w:r w:rsidR="006333EE">
        <w:t>(</w:t>
      </w:r>
      <w:r w:rsidR="006333EE" w:rsidRPr="00F45206">
        <w:t>1984</w:t>
      </w:r>
      <w:r w:rsidR="006333EE">
        <w:t>)</w:t>
      </w:r>
      <w:r w:rsidR="006333EE" w:rsidRPr="00F45206">
        <w:t>; Clarke-Stewart an</w:t>
      </w:r>
      <w:r w:rsidR="006333EE">
        <w:t>d Fein (1983);</w:t>
      </w:r>
      <w:r w:rsidR="006333EE" w:rsidRPr="006333EE">
        <w:t xml:space="preserve"> </w:t>
      </w:r>
      <w:r w:rsidR="006333EE" w:rsidRPr="00F45206">
        <w:t xml:space="preserve">McKay </w:t>
      </w:r>
      <w:r w:rsidR="006333EE" w:rsidRPr="00BC6A52">
        <w:rPr>
          <w:i/>
          <w:iCs/>
        </w:rPr>
        <w:t>et al.</w:t>
      </w:r>
      <w:r w:rsidR="006333EE" w:rsidRPr="00F45206">
        <w:t xml:space="preserve"> </w:t>
      </w:r>
      <w:r w:rsidR="006333EE">
        <w:t>(</w:t>
      </w:r>
      <w:r w:rsidR="006333EE" w:rsidRPr="00F45206">
        <w:t>1978</w:t>
      </w:r>
      <w:r w:rsidR="006333EE">
        <w:t>)</w:t>
      </w:r>
      <w:r>
        <w:t>.</w:t>
      </w:r>
    </w:p>
  </w:footnote>
  <w:footnote w:id="4">
    <w:p w:rsidR="002C3DB1" w:rsidRPr="00936C19" w:rsidRDefault="002C3DB1" w:rsidP="006333EE">
      <w:pPr>
        <w:pStyle w:val="FootnoteText"/>
        <w:spacing w:after="60"/>
        <w:rPr>
          <w:lang w:val="en-US"/>
        </w:rPr>
      </w:pPr>
      <w:r>
        <w:rPr>
          <w:rStyle w:val="FootnoteReference"/>
        </w:rPr>
        <w:footnoteRef/>
      </w:r>
      <w:r>
        <w:t xml:space="preserve"> Barnett (2008)</w:t>
      </w:r>
      <w:r w:rsidR="00134FC6">
        <w:t>.</w:t>
      </w:r>
    </w:p>
  </w:footnote>
  <w:footnote w:id="5">
    <w:p w:rsidR="002C3DB1" w:rsidRPr="00E646C2" w:rsidRDefault="002C3DB1" w:rsidP="002C3DB1">
      <w:pPr>
        <w:pStyle w:val="FootnoteText"/>
        <w:spacing w:after="60"/>
      </w:pPr>
      <w:r>
        <w:rPr>
          <w:rStyle w:val="FootnoteReference"/>
        </w:rPr>
        <w:footnoteRef/>
      </w:r>
      <w:r>
        <w:t xml:space="preserve"> </w:t>
      </w:r>
      <w:r w:rsidR="006333EE">
        <w:t>Levin and Schwartz</w:t>
      </w:r>
      <w:r w:rsidR="006333EE" w:rsidRPr="00F45206">
        <w:t xml:space="preserve"> </w:t>
      </w:r>
      <w:r w:rsidR="006333EE">
        <w:t>(</w:t>
      </w:r>
      <w:r w:rsidR="006333EE" w:rsidRPr="00F45206">
        <w:t>2007</w:t>
      </w:r>
      <w:r w:rsidR="006333EE">
        <w:t>)</w:t>
      </w:r>
      <w:r w:rsidR="006333EE" w:rsidRPr="00F45206">
        <w:t xml:space="preserve">; </w:t>
      </w:r>
      <w:r w:rsidR="001C35CE" w:rsidRPr="003A3D80">
        <w:rPr>
          <w:lang w:val="fr-FR"/>
        </w:rPr>
        <w:t xml:space="preserve">Loeb </w:t>
      </w:r>
      <w:r w:rsidR="001C35CE" w:rsidRPr="003A3D80">
        <w:rPr>
          <w:i/>
          <w:iCs/>
          <w:lang w:val="fr-FR"/>
        </w:rPr>
        <w:t>et al.</w:t>
      </w:r>
      <w:r w:rsidR="001C35CE" w:rsidRPr="003A3D80">
        <w:rPr>
          <w:lang w:val="fr-FR"/>
        </w:rPr>
        <w:t xml:space="preserve"> </w:t>
      </w:r>
      <w:r w:rsidR="001C35CE">
        <w:t>(</w:t>
      </w:r>
      <w:r w:rsidR="001C35CE" w:rsidRPr="00F45206">
        <w:t>2007</w:t>
      </w:r>
      <w:r w:rsidR="001C35CE">
        <w:t>)</w:t>
      </w:r>
      <w:r w:rsidR="001C35CE" w:rsidRPr="00F45206">
        <w:t>;</w:t>
      </w:r>
      <w:r w:rsidR="001C35CE">
        <w:t xml:space="preserve"> </w:t>
      </w:r>
      <w:r w:rsidRPr="0001763C">
        <w:t>Baker, Gruber and Milligan</w:t>
      </w:r>
      <w:r w:rsidRPr="00F45206">
        <w:t xml:space="preserve"> </w:t>
      </w:r>
      <w:r>
        <w:t>(</w:t>
      </w:r>
      <w:r w:rsidRPr="00F45206">
        <w:t>2005</w:t>
      </w:r>
      <w:r>
        <w:t>)</w:t>
      </w:r>
      <w:r w:rsidR="00134FC6">
        <w:t xml:space="preserve">; </w:t>
      </w:r>
      <w:r w:rsidR="006333EE">
        <w:t>Goodman and Sianesi</w:t>
      </w:r>
      <w:r w:rsidR="006333EE" w:rsidRPr="00F45206">
        <w:t xml:space="preserve"> </w:t>
      </w:r>
      <w:r w:rsidR="006333EE">
        <w:t>(</w:t>
      </w:r>
      <w:r w:rsidR="006333EE" w:rsidRPr="00F45206">
        <w:t>2005</w:t>
      </w:r>
      <w:r w:rsidR="006333EE">
        <w:t>)</w:t>
      </w:r>
      <w:r w:rsidR="006333EE" w:rsidRPr="00F45206">
        <w:t>;</w:t>
      </w:r>
      <w:r w:rsidR="006333EE">
        <w:t xml:space="preserve"> </w:t>
      </w:r>
      <w:r w:rsidR="001C35CE" w:rsidRPr="00F45206">
        <w:t xml:space="preserve">Magnuson </w:t>
      </w:r>
      <w:r w:rsidR="001C35CE" w:rsidRPr="00BC6A52">
        <w:rPr>
          <w:i/>
          <w:iCs/>
        </w:rPr>
        <w:t>et al.</w:t>
      </w:r>
      <w:r w:rsidR="001C35CE" w:rsidRPr="00F45206">
        <w:t xml:space="preserve"> </w:t>
      </w:r>
      <w:r w:rsidR="001C35CE">
        <w:t>(</w:t>
      </w:r>
      <w:r w:rsidR="001C35CE" w:rsidRPr="00F45206">
        <w:t>2005</w:t>
      </w:r>
      <w:r w:rsidR="001C35CE">
        <w:t xml:space="preserve">); </w:t>
      </w:r>
      <w:r>
        <w:t>NICHD</w:t>
      </w:r>
      <w:r w:rsidRPr="00F45206">
        <w:t xml:space="preserve"> </w:t>
      </w:r>
      <w:r>
        <w:t>(</w:t>
      </w:r>
      <w:r w:rsidRPr="00F45206">
        <w:t>2003a</w:t>
      </w:r>
      <w:r>
        <w:t xml:space="preserve">); </w:t>
      </w:r>
      <w:r w:rsidRPr="003A3D80">
        <w:rPr>
          <w:lang w:val="fr-FR"/>
        </w:rPr>
        <w:t xml:space="preserve">Love </w:t>
      </w:r>
      <w:r w:rsidRPr="003A3D80">
        <w:rPr>
          <w:i/>
          <w:iCs/>
          <w:lang w:val="fr-FR"/>
        </w:rPr>
        <w:t>et al.</w:t>
      </w:r>
      <w:r w:rsidRPr="003A3D80">
        <w:rPr>
          <w:lang w:val="fr-FR"/>
        </w:rPr>
        <w:t xml:space="preserve"> (2003); </w:t>
      </w:r>
      <w:r w:rsidR="006333EE">
        <w:t>Sylva</w:t>
      </w:r>
      <w:r w:rsidR="006333EE" w:rsidRPr="00F45206">
        <w:t xml:space="preserve"> </w:t>
      </w:r>
      <w:r w:rsidR="006333EE">
        <w:t>(</w:t>
      </w:r>
      <w:r w:rsidR="006333EE" w:rsidRPr="00F45206">
        <w:t>2003</w:t>
      </w:r>
      <w:r w:rsidR="006333EE">
        <w:t>); Barnett</w:t>
      </w:r>
      <w:r w:rsidR="006333EE" w:rsidRPr="00F45206">
        <w:t xml:space="preserve"> </w:t>
      </w:r>
      <w:r w:rsidR="006333EE">
        <w:t>(</w:t>
      </w:r>
      <w:r w:rsidR="006333EE" w:rsidRPr="00F45206">
        <w:t>2001</w:t>
      </w:r>
      <w:r w:rsidR="006333EE">
        <w:t>)</w:t>
      </w:r>
      <w:r w:rsidR="006333EE" w:rsidRPr="00F45206">
        <w:t xml:space="preserve">; </w:t>
      </w:r>
      <w:r w:rsidR="006333EE">
        <w:t>Peisner-Feinberg (</w:t>
      </w:r>
      <w:r w:rsidR="006333EE" w:rsidRPr="00F45206">
        <w:t>1999</w:t>
      </w:r>
      <w:r w:rsidR="006333EE">
        <w:t>); Reynolds (</w:t>
      </w:r>
      <w:r w:rsidR="006333EE" w:rsidRPr="00F45206">
        <w:t>1999</w:t>
      </w:r>
      <w:r w:rsidR="006333EE">
        <w:t>)</w:t>
      </w:r>
      <w:r w:rsidR="006333EE" w:rsidRPr="00F45206">
        <w:t xml:space="preserve">; </w:t>
      </w:r>
      <w:r w:rsidR="006333EE" w:rsidRPr="00097543">
        <w:rPr>
          <w:lang w:val="fr-CA"/>
        </w:rPr>
        <w:t xml:space="preserve">Barnett </w:t>
      </w:r>
      <w:r w:rsidR="006333EE" w:rsidRPr="00097543">
        <w:rPr>
          <w:i/>
          <w:iCs/>
          <w:lang w:val="fr-CA"/>
        </w:rPr>
        <w:t>et al.</w:t>
      </w:r>
      <w:r w:rsidR="006333EE" w:rsidRPr="00097543">
        <w:rPr>
          <w:lang w:val="fr-CA"/>
        </w:rPr>
        <w:t xml:space="preserve"> </w:t>
      </w:r>
      <w:r w:rsidR="006333EE" w:rsidRPr="003A3D80">
        <w:rPr>
          <w:lang w:val="fr-FR"/>
        </w:rPr>
        <w:t>(1994);</w:t>
      </w:r>
      <w:r w:rsidR="006333EE">
        <w:rPr>
          <w:lang w:val="fr-FR"/>
        </w:rPr>
        <w:t xml:space="preserve"> </w:t>
      </w:r>
      <w:r w:rsidR="001C35CE" w:rsidRPr="003A3D80">
        <w:rPr>
          <w:lang w:val="fr-FR"/>
        </w:rPr>
        <w:t xml:space="preserve">Seitz </w:t>
      </w:r>
      <w:r w:rsidR="001C35CE" w:rsidRPr="003A3D80">
        <w:rPr>
          <w:i/>
          <w:iCs/>
          <w:lang w:val="fr-FR"/>
        </w:rPr>
        <w:t>et al.</w:t>
      </w:r>
      <w:r w:rsidR="001C35CE" w:rsidRPr="003A3D80">
        <w:rPr>
          <w:lang w:val="fr-FR"/>
        </w:rPr>
        <w:t xml:space="preserve"> (1994);</w:t>
      </w:r>
      <w:r w:rsidR="001C35CE" w:rsidRPr="00F45206">
        <w:t xml:space="preserve"> </w:t>
      </w:r>
      <w:r w:rsidR="006333EE" w:rsidRPr="00097543">
        <w:rPr>
          <w:lang w:val="fr-CA"/>
        </w:rPr>
        <w:t xml:space="preserve">Schweinhart </w:t>
      </w:r>
      <w:r w:rsidR="006333EE" w:rsidRPr="00097543">
        <w:rPr>
          <w:i/>
          <w:iCs/>
          <w:lang w:val="fr-CA"/>
        </w:rPr>
        <w:t>et al.</w:t>
      </w:r>
      <w:r w:rsidR="006333EE" w:rsidRPr="00097543">
        <w:rPr>
          <w:lang w:val="fr-CA"/>
        </w:rPr>
        <w:t xml:space="preserve"> (1993);</w:t>
      </w:r>
      <w:r w:rsidR="006333EE">
        <w:rPr>
          <w:lang w:val="fr-FR"/>
        </w:rPr>
        <w:t xml:space="preserve"> </w:t>
      </w:r>
      <w:r w:rsidR="006333EE">
        <w:t>Andersson</w:t>
      </w:r>
      <w:r w:rsidR="006333EE" w:rsidRPr="00F45206">
        <w:t xml:space="preserve"> </w:t>
      </w:r>
      <w:r w:rsidR="006333EE">
        <w:t>(</w:t>
      </w:r>
      <w:r w:rsidR="006333EE" w:rsidRPr="00F45206">
        <w:t>1992</w:t>
      </w:r>
      <w:r w:rsidR="006333EE">
        <w:t>); Johnson and Walker</w:t>
      </w:r>
      <w:r w:rsidR="006333EE" w:rsidRPr="00F45206">
        <w:t xml:space="preserve"> </w:t>
      </w:r>
      <w:r w:rsidR="006333EE">
        <w:t>(</w:t>
      </w:r>
      <w:r w:rsidR="006333EE" w:rsidRPr="00F45206">
        <w:t>1991</w:t>
      </w:r>
      <w:r w:rsidR="006333EE">
        <w:t xml:space="preserve">); </w:t>
      </w:r>
      <w:r w:rsidR="001C35CE">
        <w:t>Andersson</w:t>
      </w:r>
      <w:r w:rsidR="001C35CE" w:rsidRPr="00F45206">
        <w:t xml:space="preserve"> </w:t>
      </w:r>
      <w:r w:rsidR="001C35CE">
        <w:t>(</w:t>
      </w:r>
      <w:r w:rsidR="001C35CE" w:rsidRPr="00F45206">
        <w:t>1989</w:t>
      </w:r>
      <w:r w:rsidR="001C35CE">
        <w:t xml:space="preserve">); </w:t>
      </w:r>
      <w:r w:rsidRPr="003A3D80">
        <w:rPr>
          <w:lang w:val="fr-FR"/>
        </w:rPr>
        <w:t xml:space="preserve">Lally </w:t>
      </w:r>
      <w:r w:rsidRPr="003A3D80">
        <w:rPr>
          <w:i/>
          <w:iCs/>
          <w:lang w:val="fr-FR"/>
        </w:rPr>
        <w:t>et al.</w:t>
      </w:r>
      <w:r w:rsidRPr="003A3D80">
        <w:rPr>
          <w:lang w:val="fr-FR"/>
        </w:rPr>
        <w:t xml:space="preserve"> (1988);</w:t>
      </w:r>
      <w:r>
        <w:t xml:space="preserve"> Belsky</w:t>
      </w:r>
      <w:r w:rsidRPr="00F45206">
        <w:t xml:space="preserve"> </w:t>
      </w:r>
      <w:r>
        <w:t>(</w:t>
      </w:r>
      <w:r w:rsidRPr="00F45206">
        <w:t>1987</w:t>
      </w:r>
      <w:r>
        <w:t>)</w:t>
      </w:r>
      <w:r w:rsidRPr="00F45206">
        <w:t xml:space="preserve">; </w:t>
      </w:r>
      <w:r w:rsidR="006333EE">
        <w:t>Belsky</w:t>
      </w:r>
      <w:r w:rsidR="006333EE" w:rsidRPr="00F45206">
        <w:t xml:space="preserve"> </w:t>
      </w:r>
      <w:r w:rsidR="006333EE">
        <w:t>(</w:t>
      </w:r>
      <w:r w:rsidR="006333EE" w:rsidRPr="00F45206">
        <w:t>1986</w:t>
      </w:r>
      <w:r w:rsidR="006333EE">
        <w:t xml:space="preserve">); </w:t>
      </w:r>
      <w:r w:rsidR="001C35CE">
        <w:t>Gamble and Zigler</w:t>
      </w:r>
      <w:r w:rsidR="001C35CE" w:rsidRPr="00F45206">
        <w:t xml:space="preserve"> </w:t>
      </w:r>
      <w:r w:rsidR="001C35CE">
        <w:t>(</w:t>
      </w:r>
      <w:r w:rsidR="001C35CE" w:rsidRPr="00F45206">
        <w:t>1986</w:t>
      </w:r>
      <w:r w:rsidR="001C35CE">
        <w:t xml:space="preserve">); </w:t>
      </w:r>
      <w:r w:rsidR="001C35CE" w:rsidRPr="003A3D80">
        <w:rPr>
          <w:lang w:val="fr-FR"/>
        </w:rPr>
        <w:t xml:space="preserve">Haskins (1985); </w:t>
      </w:r>
      <w:r w:rsidR="006333EE" w:rsidRPr="00F45206">
        <w:t>Jester and Gu</w:t>
      </w:r>
      <w:r w:rsidR="006333EE">
        <w:t>inagh</w:t>
      </w:r>
      <w:r w:rsidR="006333EE" w:rsidRPr="00F45206">
        <w:t xml:space="preserve"> </w:t>
      </w:r>
      <w:r w:rsidR="006333EE">
        <w:t>(</w:t>
      </w:r>
      <w:r w:rsidR="006333EE" w:rsidRPr="00F45206">
        <w:t>1983</w:t>
      </w:r>
      <w:r w:rsidR="006333EE">
        <w:t>)</w:t>
      </w:r>
      <w:r w:rsidR="006333EE" w:rsidRPr="00F45206">
        <w:t xml:space="preserve">; </w:t>
      </w:r>
      <w:r w:rsidR="006333EE">
        <w:t>Clarke-Stewart and Fein</w:t>
      </w:r>
      <w:r w:rsidR="006333EE" w:rsidRPr="00F45206">
        <w:t xml:space="preserve"> </w:t>
      </w:r>
      <w:r w:rsidR="006333EE">
        <w:t>(</w:t>
      </w:r>
      <w:r w:rsidR="006333EE" w:rsidRPr="00F45206">
        <w:t>1983</w:t>
      </w:r>
      <w:r w:rsidR="006333EE">
        <w:t xml:space="preserve">); </w:t>
      </w:r>
      <w:r w:rsidR="001C35CE" w:rsidRPr="00F45206">
        <w:t xml:space="preserve">Belsky </w:t>
      </w:r>
      <w:r w:rsidR="001C35CE" w:rsidRPr="00BC6A52">
        <w:rPr>
          <w:i/>
          <w:iCs/>
        </w:rPr>
        <w:t>et al.</w:t>
      </w:r>
      <w:r w:rsidR="001C35CE" w:rsidRPr="00F45206">
        <w:t xml:space="preserve"> </w:t>
      </w:r>
      <w:r w:rsidR="001C35CE">
        <w:t>(</w:t>
      </w:r>
      <w:r w:rsidR="001C35CE" w:rsidRPr="00F45206">
        <w:t>1982</w:t>
      </w:r>
      <w:r w:rsidR="001C35CE">
        <w:t xml:space="preserve">); </w:t>
      </w:r>
      <w:r w:rsidR="006333EE" w:rsidRPr="00F45206">
        <w:t xml:space="preserve">Andrews </w:t>
      </w:r>
      <w:r w:rsidR="006333EE" w:rsidRPr="00BC6A52">
        <w:rPr>
          <w:i/>
          <w:iCs/>
        </w:rPr>
        <w:t>et al.</w:t>
      </w:r>
      <w:r w:rsidR="006333EE" w:rsidRPr="00F45206">
        <w:t xml:space="preserve"> </w:t>
      </w:r>
      <w:r w:rsidR="006333EE">
        <w:t>(</w:t>
      </w:r>
      <w:r w:rsidR="006333EE" w:rsidRPr="00F45206">
        <w:t>1982</w:t>
      </w:r>
      <w:r w:rsidR="006333EE">
        <w:t>); Belsky and Steinberg</w:t>
      </w:r>
      <w:r w:rsidR="006333EE" w:rsidRPr="00F45206">
        <w:t xml:space="preserve"> </w:t>
      </w:r>
      <w:r w:rsidR="006333EE">
        <w:t>(</w:t>
      </w:r>
      <w:r w:rsidR="006333EE" w:rsidRPr="00F45206">
        <w:t>1978</w:t>
      </w:r>
      <w:r w:rsidR="006333EE">
        <w:t>)</w:t>
      </w:r>
      <w:r w:rsidR="006333EE" w:rsidRPr="00F45206">
        <w:t>;</w:t>
      </w:r>
      <w:r w:rsidR="006333EE">
        <w:t xml:space="preserve"> </w:t>
      </w:r>
      <w:r w:rsidR="006333EE" w:rsidRPr="00F45206">
        <w:t xml:space="preserve">McKay </w:t>
      </w:r>
      <w:r w:rsidR="006333EE" w:rsidRPr="00BC6A52">
        <w:rPr>
          <w:i/>
          <w:iCs/>
        </w:rPr>
        <w:t>et al.</w:t>
      </w:r>
      <w:r w:rsidR="006333EE" w:rsidRPr="00F45206">
        <w:t xml:space="preserve"> </w:t>
      </w:r>
      <w:r w:rsidR="006333EE">
        <w:t>(</w:t>
      </w:r>
      <w:r w:rsidR="006333EE" w:rsidRPr="00F45206">
        <w:t>1978</w:t>
      </w:r>
      <w:r w:rsidR="006333EE">
        <w:t xml:space="preserve">); </w:t>
      </w:r>
      <w:r w:rsidR="006333EE" w:rsidRPr="00F45206">
        <w:t xml:space="preserve">Weikart </w:t>
      </w:r>
      <w:r w:rsidR="006333EE" w:rsidRPr="00BC6A52">
        <w:rPr>
          <w:i/>
          <w:iCs/>
        </w:rPr>
        <w:t>et al.</w:t>
      </w:r>
      <w:r w:rsidR="006333EE" w:rsidRPr="00F45206">
        <w:t xml:space="preserve"> </w:t>
      </w:r>
      <w:r w:rsidR="006333EE" w:rsidRPr="00097543">
        <w:rPr>
          <w:lang w:val="fr-CA"/>
        </w:rPr>
        <w:t>(1978);</w:t>
      </w:r>
      <w:r>
        <w:t xml:space="preserve">. </w:t>
      </w:r>
    </w:p>
  </w:footnote>
  <w:footnote w:id="6">
    <w:p w:rsidR="00AA7CA4" w:rsidRPr="00176FAD" w:rsidRDefault="00AA7CA4" w:rsidP="00AA7CA4">
      <w:pPr>
        <w:pStyle w:val="FootnoteText"/>
        <w:spacing w:after="60"/>
        <w:rPr>
          <w:lang w:val="en-US"/>
        </w:rPr>
      </w:pPr>
      <w:r>
        <w:rPr>
          <w:rStyle w:val="FootnoteReference"/>
        </w:rPr>
        <w:footnoteRef/>
      </w:r>
      <w:r>
        <w:t xml:space="preserve"> </w:t>
      </w:r>
      <w:r w:rsidRPr="0001763C">
        <w:t>Baker, Gruber and Milligan</w:t>
      </w:r>
      <w:r w:rsidRPr="00F45206">
        <w:t xml:space="preserve"> </w:t>
      </w:r>
      <w:r>
        <w:t>(</w:t>
      </w:r>
      <w:r w:rsidRPr="00F45206">
        <w:t>2005</w:t>
      </w:r>
      <w:r>
        <w:t xml:space="preserve">). </w:t>
      </w:r>
    </w:p>
  </w:footnote>
  <w:footnote w:id="7">
    <w:p w:rsidR="00AA7CA4" w:rsidRPr="005072F5" w:rsidRDefault="00AA7CA4" w:rsidP="00AA7CA4">
      <w:pPr>
        <w:pStyle w:val="FootnoteText"/>
        <w:spacing w:after="60"/>
        <w:rPr>
          <w:lang w:val="en-US"/>
        </w:rPr>
      </w:pPr>
      <w:r>
        <w:rPr>
          <w:rStyle w:val="FootnoteReference"/>
        </w:rPr>
        <w:footnoteRef/>
      </w:r>
      <w:r>
        <w:t xml:space="preserve"> </w:t>
      </w:r>
      <w:r>
        <w:rPr>
          <w:lang w:val="en-US"/>
        </w:rPr>
        <w:t>Andersson (2003).</w:t>
      </w:r>
    </w:p>
  </w:footnote>
  <w:footnote w:id="8">
    <w:p w:rsidR="002C3DB1" w:rsidRPr="00936C19" w:rsidRDefault="002C3DB1" w:rsidP="001C35CE">
      <w:pPr>
        <w:pStyle w:val="FootnoteText"/>
        <w:spacing w:after="60"/>
        <w:rPr>
          <w:lang w:val="en-US"/>
        </w:rPr>
      </w:pPr>
      <w:r>
        <w:rPr>
          <w:rStyle w:val="FootnoteReference"/>
        </w:rPr>
        <w:footnoteRef/>
      </w:r>
      <w:r>
        <w:t xml:space="preserve"> Barnett (2008)</w:t>
      </w:r>
      <w:r w:rsidR="00C066A9">
        <w:t>.</w:t>
      </w:r>
    </w:p>
  </w:footnote>
  <w:footnote w:id="9">
    <w:p w:rsidR="00134FC6" w:rsidRPr="000C48B5" w:rsidRDefault="00134FC6" w:rsidP="001C35CE">
      <w:pPr>
        <w:pStyle w:val="FootnoteText"/>
        <w:spacing w:after="60"/>
        <w:rPr>
          <w:lang w:val="en-US"/>
        </w:rPr>
      </w:pPr>
      <w:r>
        <w:rPr>
          <w:rStyle w:val="FootnoteReference"/>
        </w:rPr>
        <w:footnoteRef/>
      </w:r>
      <w:r>
        <w:t xml:space="preserve"> </w:t>
      </w:r>
      <w:r w:rsidRPr="00BA46C3">
        <w:rPr>
          <w:color w:val="000000"/>
        </w:rPr>
        <w:t xml:space="preserve">McCain </w:t>
      </w:r>
      <w:r w:rsidRPr="00BC6A52">
        <w:rPr>
          <w:i/>
          <w:iCs/>
          <w:color w:val="000000"/>
        </w:rPr>
        <w:t>et al.</w:t>
      </w:r>
      <w:r w:rsidRPr="00BA46C3">
        <w:rPr>
          <w:color w:val="000000"/>
        </w:rPr>
        <w:t xml:space="preserve"> </w:t>
      </w:r>
      <w:r>
        <w:rPr>
          <w:color w:val="000000"/>
        </w:rPr>
        <w:t>(</w:t>
      </w:r>
      <w:r w:rsidRPr="00BA46C3">
        <w:rPr>
          <w:color w:val="000000"/>
        </w:rPr>
        <w:t>2007</w:t>
      </w:r>
      <w:r>
        <w:rPr>
          <w:color w:val="000000"/>
        </w:rPr>
        <w:t xml:space="preserve">); </w:t>
      </w:r>
      <w:r w:rsidR="001C35CE" w:rsidRPr="00BA46C3">
        <w:t>Del Boca and Vuri</w:t>
      </w:r>
      <w:r w:rsidR="001C35CE">
        <w:t xml:space="preserve"> (</w:t>
      </w:r>
      <w:r w:rsidR="001C35CE" w:rsidRPr="00BA46C3">
        <w:t>2005)</w:t>
      </w:r>
      <w:r w:rsidR="001C35CE">
        <w:t xml:space="preserve">; </w:t>
      </w:r>
      <w:r>
        <w:rPr>
          <w:color w:val="000000"/>
        </w:rPr>
        <w:t>Connelly and Davis (2002)</w:t>
      </w:r>
      <w:r w:rsidR="001C35CE">
        <w:rPr>
          <w:color w:val="000000"/>
        </w:rPr>
        <w:t>;</w:t>
      </w:r>
      <w:r>
        <w:rPr>
          <w:color w:val="000000"/>
        </w:rPr>
        <w:t xml:space="preserve"> </w:t>
      </w:r>
      <w:r>
        <w:t>Kreyenfeld and Hank</w:t>
      </w:r>
      <w:r w:rsidRPr="00BA46C3">
        <w:t xml:space="preserve"> </w:t>
      </w:r>
      <w:r>
        <w:t>(</w:t>
      </w:r>
      <w:r w:rsidRPr="00BA46C3">
        <w:t>1999</w:t>
      </w:r>
      <w:r>
        <w:t>).</w:t>
      </w:r>
    </w:p>
  </w:footnote>
  <w:footnote w:id="10">
    <w:p w:rsidR="002C3DB1" w:rsidRPr="007C52C2" w:rsidRDefault="002C3DB1" w:rsidP="001C35CE">
      <w:pPr>
        <w:pStyle w:val="FootnoteText"/>
        <w:spacing w:after="60"/>
        <w:rPr>
          <w:lang w:val="en-US"/>
        </w:rPr>
      </w:pPr>
      <w:r>
        <w:rPr>
          <w:rStyle w:val="FootnoteReference"/>
        </w:rPr>
        <w:footnoteRef/>
      </w:r>
      <w:r>
        <w:t xml:space="preserve"> </w:t>
      </w:r>
      <w:r w:rsidR="0097062C">
        <w:t xml:space="preserve">Fairholm and Davis (2010); Fairholm (2009); </w:t>
      </w:r>
      <w:r w:rsidRPr="007C52C2">
        <w:t>Kilburn and Karoly (2008)</w:t>
      </w:r>
      <w:r>
        <w:t>;</w:t>
      </w:r>
      <w:r w:rsidRPr="007C52C2">
        <w:t xml:space="preserve"> </w:t>
      </w:r>
      <w:r w:rsidR="001C35CE" w:rsidRPr="007C52C2">
        <w:t>Temple and Reynolds (2007)</w:t>
      </w:r>
      <w:r w:rsidR="001C35CE">
        <w:t>;</w:t>
      </w:r>
      <w:r w:rsidR="001C35CE" w:rsidRPr="007C52C2">
        <w:t xml:space="preserve"> </w:t>
      </w:r>
      <w:r w:rsidR="007707D6" w:rsidRPr="007C52C2">
        <w:t>Chevalier et al. (2006</w:t>
      </w:r>
      <w:r w:rsidR="007707D6">
        <w:t xml:space="preserve">); </w:t>
      </w:r>
      <w:r w:rsidRPr="007C52C2">
        <w:t>Belfield (2005)</w:t>
      </w:r>
      <w:r>
        <w:t>;</w:t>
      </w:r>
      <w:r w:rsidRPr="007C52C2">
        <w:t xml:space="preserve"> Karoly and Bigelow (2005)</w:t>
      </w:r>
      <w:r w:rsidR="007707D6">
        <w:t>;</w:t>
      </w:r>
      <w:r w:rsidRPr="007C52C2">
        <w:t xml:space="preserve"> </w:t>
      </w:r>
      <w:r w:rsidR="001C35CE" w:rsidRPr="007C52C2">
        <w:t>Cleveland and Krashinsky (1998)</w:t>
      </w:r>
      <w:r w:rsidR="001C35CE">
        <w:t xml:space="preserve">. </w:t>
      </w:r>
    </w:p>
  </w:footnote>
  <w:footnote w:id="11">
    <w:p w:rsidR="002F4FEB" w:rsidRDefault="002F4FEB">
      <w:pPr>
        <w:pStyle w:val="FootnoteText"/>
      </w:pPr>
      <w:r>
        <w:rPr>
          <w:rStyle w:val="FootnoteReference"/>
        </w:rPr>
        <w:footnoteRef/>
      </w:r>
      <w:r>
        <w:t xml:space="preserve"> Barnett (1996) </w:t>
      </w:r>
      <w:r w:rsidR="000612EC">
        <w:t xml:space="preserve">and Schweinhart et al. (1993) </w:t>
      </w:r>
      <w:r>
        <w:t>estima</w:t>
      </w:r>
      <w:r w:rsidR="000612EC">
        <w:t>te</w:t>
      </w:r>
      <w:r>
        <w:t xml:space="preserve"> </w:t>
      </w:r>
      <w:r w:rsidR="000612EC">
        <w:t>a</w:t>
      </w:r>
      <w:r>
        <w:t xml:space="preserve"> benefit-cost ratio </w:t>
      </w:r>
      <w:r w:rsidR="000612EC">
        <w:t>of 7.2:1</w:t>
      </w:r>
      <w:r>
        <w:t xml:space="preserve"> for the Perry Preschool Program</w:t>
      </w:r>
      <w:r w:rsidR="000612EC">
        <w:t xml:space="preserve">, Masse and Barnett (2002) estimate a benefit-cost ratio of 3.8:1 for the Abecedarian Program, and Reynolds et al. (2002) estimate a benefit-cost ratio of 7.1:1 for the Chicago Child-Parent Centers Program. </w:t>
      </w:r>
    </w:p>
  </w:footnote>
  <w:footnote w:id="12">
    <w:p w:rsidR="00042826" w:rsidRPr="00F15979" w:rsidRDefault="00042826" w:rsidP="006D4CEE">
      <w:pPr>
        <w:pStyle w:val="FootnoteText"/>
        <w:spacing w:after="60"/>
        <w:rPr>
          <w:lang w:val="en-US"/>
        </w:rPr>
      </w:pPr>
      <w:r>
        <w:rPr>
          <w:rStyle w:val="FootnoteReference"/>
        </w:rPr>
        <w:footnoteRef/>
      </w:r>
      <w:r>
        <w:t xml:space="preserve"> See Cross and Ghanem</w:t>
      </w:r>
      <w:r w:rsidRPr="00FF1D18">
        <w:t xml:space="preserve"> (2006)</w:t>
      </w:r>
      <w:r>
        <w:t xml:space="preserve"> for a discussion of </w:t>
      </w:r>
      <w:r w:rsidR="00770E07">
        <w:t xml:space="preserve">multipliers including </w:t>
      </w:r>
      <w:r>
        <w:t>limitations of IO multipliers.</w:t>
      </w:r>
    </w:p>
  </w:footnote>
  <w:footnote w:id="13">
    <w:p w:rsidR="00042826" w:rsidRPr="00E20A9D" w:rsidRDefault="00042826" w:rsidP="006D4CEE">
      <w:pPr>
        <w:pStyle w:val="FootnoteText"/>
        <w:spacing w:after="60"/>
        <w:rPr>
          <w:lang w:val="en-US"/>
        </w:rPr>
      </w:pPr>
      <w:r>
        <w:rPr>
          <w:rStyle w:val="FootnoteReference"/>
        </w:rPr>
        <w:footnoteRef/>
      </w:r>
      <w:r>
        <w:t xml:space="preserve"> Cross and Ghanem</w:t>
      </w:r>
      <w:r w:rsidRPr="00FF1D18">
        <w:t xml:space="preserve"> (2006)</w:t>
      </w:r>
      <w:r>
        <w:rPr>
          <w:lang w:val="en-US"/>
        </w:rPr>
        <w:t>.</w:t>
      </w:r>
    </w:p>
  </w:footnote>
  <w:footnote w:id="14">
    <w:p w:rsidR="00042826" w:rsidRPr="00272C91" w:rsidRDefault="00042826" w:rsidP="00F31483">
      <w:pPr>
        <w:pStyle w:val="FootnoteText"/>
        <w:spacing w:after="0"/>
        <w:rPr>
          <w:lang w:val="en-US"/>
        </w:rPr>
      </w:pPr>
      <w:r>
        <w:rPr>
          <w:rStyle w:val="FootnoteReference"/>
        </w:rPr>
        <w:footnoteRef/>
      </w:r>
      <w:r>
        <w:t xml:space="preserve"> Statistics </w:t>
      </w:r>
      <w:smartTag w:uri="urn:schemas-microsoft-com:office:smarttags" w:element="country-region">
        <w:smartTag w:uri="urn:schemas-microsoft-com:office:smarttags" w:element="place">
          <w:r>
            <w:t>Canada</w:t>
          </w:r>
        </w:smartTag>
      </w:smartTag>
      <w:r>
        <w:t>’s “Survey of Household Spending” collects data on expenditures for child care inside and outside the home. Annual spending on “day care centres” and “other child care outside the home” are explicitly requested. These expenditures exclude children’s camps, such as summer camps and day camps.</w:t>
      </w:r>
    </w:p>
  </w:footnote>
  <w:footnote w:id="15">
    <w:p w:rsidR="00042826" w:rsidRPr="00A92879" w:rsidRDefault="00042826" w:rsidP="00F31483">
      <w:pPr>
        <w:pStyle w:val="FootnoteText"/>
        <w:spacing w:after="0"/>
        <w:rPr>
          <w:lang w:val="en-US"/>
        </w:rPr>
      </w:pPr>
      <w:r>
        <w:rPr>
          <w:rStyle w:val="FootnoteReference"/>
        </w:rPr>
        <w:footnoteRef/>
      </w:r>
      <w:r>
        <w:t xml:space="preserve"> </w:t>
      </w:r>
      <w:r>
        <w:rPr>
          <w:lang w:val="en-US"/>
        </w:rPr>
        <w:t>Dynan et al. (2004) show that the marginal propensity to consume is higher for low income households.</w:t>
      </w:r>
    </w:p>
  </w:footnote>
  <w:footnote w:id="16">
    <w:p w:rsidR="00042826" w:rsidRPr="00AC0729" w:rsidRDefault="00042826" w:rsidP="00AC0729">
      <w:pPr>
        <w:ind w:firstLineChars="100" w:firstLine="220"/>
        <w:rPr>
          <w:rFonts w:cs="Times New Roman"/>
          <w:color w:val="000000"/>
          <w:sz w:val="20"/>
          <w:szCs w:val="20"/>
        </w:rPr>
      </w:pPr>
      <w:r>
        <w:rPr>
          <w:rStyle w:val="FootnoteReference"/>
        </w:rPr>
        <w:footnoteRef/>
      </w:r>
      <w:r>
        <w:t xml:space="preserve"> </w:t>
      </w:r>
      <w:r w:rsidRPr="00AC0729">
        <w:rPr>
          <w:b/>
          <w:sz w:val="20"/>
          <w:szCs w:val="20"/>
        </w:rPr>
        <w:t>Federal Tax Rates for 2009:</w:t>
      </w:r>
      <w:r w:rsidRPr="00AC0729">
        <w:rPr>
          <w:sz w:val="20"/>
          <w:szCs w:val="20"/>
        </w:rPr>
        <w:t xml:space="preserve"> </w:t>
      </w:r>
      <w:r w:rsidRPr="00AC0729">
        <w:rPr>
          <w:rFonts w:cs="Times New Roman"/>
          <w:color w:val="000000"/>
          <w:sz w:val="20"/>
          <w:szCs w:val="20"/>
        </w:rPr>
        <w:t xml:space="preserve">15% </w:t>
      </w:r>
      <w:r w:rsidRPr="00AC0729">
        <w:rPr>
          <w:rFonts w:cs="Times New Roman"/>
          <w:bCs/>
          <w:color w:val="000000"/>
          <w:sz w:val="20"/>
          <w:szCs w:val="20"/>
        </w:rPr>
        <w:t>on the first</w:t>
      </w:r>
      <w:r w:rsidRPr="00AC0729">
        <w:rPr>
          <w:rFonts w:cs="Times New Roman"/>
          <w:color w:val="000000"/>
          <w:sz w:val="20"/>
          <w:szCs w:val="20"/>
        </w:rPr>
        <w:t xml:space="preserve"> $40,726 of taxable income, </w:t>
      </w:r>
      <w:r w:rsidRPr="00AC0729">
        <w:rPr>
          <w:rFonts w:cs="Times New Roman"/>
          <w:b/>
          <w:bCs/>
          <w:color w:val="000000"/>
          <w:sz w:val="20"/>
          <w:szCs w:val="20"/>
        </w:rPr>
        <w:t xml:space="preserve">+ </w:t>
      </w:r>
      <w:r w:rsidRPr="00AC0729">
        <w:rPr>
          <w:rFonts w:cs="Times New Roman"/>
          <w:color w:val="000000"/>
          <w:sz w:val="20"/>
          <w:szCs w:val="20"/>
        </w:rPr>
        <w:t xml:space="preserve">22% </w:t>
      </w:r>
      <w:r w:rsidRPr="00AC0729">
        <w:rPr>
          <w:rFonts w:cs="Times New Roman"/>
          <w:bCs/>
          <w:color w:val="000000"/>
          <w:sz w:val="20"/>
          <w:szCs w:val="20"/>
        </w:rPr>
        <w:t>on the next</w:t>
      </w:r>
      <w:r w:rsidRPr="00AC0729">
        <w:rPr>
          <w:rFonts w:cs="Times New Roman"/>
          <w:color w:val="000000"/>
          <w:sz w:val="20"/>
          <w:szCs w:val="20"/>
        </w:rPr>
        <w:t> $40,726 of t</w:t>
      </w:r>
      <w:r>
        <w:rPr>
          <w:rFonts w:cs="Times New Roman"/>
          <w:color w:val="000000"/>
          <w:sz w:val="20"/>
          <w:szCs w:val="20"/>
        </w:rPr>
        <w:t>axable income (</w:t>
      </w:r>
      <w:r w:rsidRPr="00AC0729">
        <w:rPr>
          <w:rFonts w:cs="Times New Roman"/>
          <w:color w:val="000000"/>
          <w:sz w:val="20"/>
          <w:szCs w:val="20"/>
        </w:rPr>
        <w:t>taxable income between $40,726 and</w:t>
      </w:r>
      <w:r>
        <w:rPr>
          <w:rFonts w:cs="Times New Roman"/>
          <w:color w:val="000000"/>
          <w:sz w:val="20"/>
          <w:szCs w:val="20"/>
        </w:rPr>
        <w:t> $81,452),</w:t>
      </w:r>
      <w:r w:rsidRPr="00AC0729">
        <w:rPr>
          <w:rFonts w:cs="Times New Roman"/>
          <w:color w:val="000000"/>
          <w:sz w:val="20"/>
          <w:szCs w:val="20"/>
        </w:rPr>
        <w:t xml:space="preserve"> </w:t>
      </w:r>
      <w:r w:rsidRPr="00AC0729">
        <w:rPr>
          <w:rFonts w:cs="Times New Roman"/>
          <w:b/>
          <w:bCs/>
          <w:color w:val="000000"/>
          <w:sz w:val="20"/>
          <w:szCs w:val="20"/>
        </w:rPr>
        <w:t xml:space="preserve">+ </w:t>
      </w:r>
      <w:r w:rsidRPr="00AC0729">
        <w:rPr>
          <w:rFonts w:cs="Times New Roman"/>
          <w:color w:val="000000"/>
          <w:sz w:val="20"/>
          <w:szCs w:val="20"/>
        </w:rPr>
        <w:t xml:space="preserve">26% </w:t>
      </w:r>
      <w:r w:rsidRPr="00AC0729">
        <w:rPr>
          <w:rFonts w:cs="Times New Roman"/>
          <w:bCs/>
          <w:color w:val="000000"/>
          <w:sz w:val="20"/>
          <w:szCs w:val="20"/>
        </w:rPr>
        <w:t>on the next</w:t>
      </w:r>
      <w:r>
        <w:rPr>
          <w:rFonts w:cs="Times New Roman"/>
          <w:color w:val="000000"/>
          <w:sz w:val="20"/>
          <w:szCs w:val="20"/>
        </w:rPr>
        <w:t> $44,812 of taxable income (</w:t>
      </w:r>
      <w:r w:rsidRPr="00AC0729">
        <w:rPr>
          <w:rFonts w:cs="Times New Roman"/>
          <w:color w:val="000000"/>
          <w:sz w:val="20"/>
          <w:szCs w:val="20"/>
        </w:rPr>
        <w:t>taxable income between $81,452 and</w:t>
      </w:r>
      <w:r>
        <w:rPr>
          <w:rFonts w:cs="Times New Roman"/>
          <w:color w:val="000000"/>
          <w:sz w:val="20"/>
          <w:szCs w:val="20"/>
        </w:rPr>
        <w:t> $126,264),</w:t>
      </w:r>
      <w:r w:rsidRPr="00AC0729">
        <w:rPr>
          <w:rFonts w:cs="Times New Roman"/>
          <w:color w:val="000000"/>
          <w:sz w:val="20"/>
          <w:szCs w:val="20"/>
        </w:rPr>
        <w:t xml:space="preserve"> </w:t>
      </w:r>
      <w:r w:rsidRPr="00AC0729">
        <w:rPr>
          <w:rFonts w:cs="Times New Roman"/>
          <w:b/>
          <w:bCs/>
          <w:color w:val="000000"/>
          <w:sz w:val="20"/>
          <w:szCs w:val="20"/>
        </w:rPr>
        <w:t xml:space="preserve">+ </w:t>
      </w:r>
      <w:r w:rsidRPr="00AC0729">
        <w:rPr>
          <w:rFonts w:cs="Times New Roman"/>
          <w:color w:val="000000"/>
          <w:sz w:val="20"/>
          <w:szCs w:val="20"/>
        </w:rPr>
        <w:t xml:space="preserve">29% of taxable income </w:t>
      </w:r>
      <w:r w:rsidRPr="00AC0729">
        <w:rPr>
          <w:rFonts w:cs="Times New Roman"/>
          <w:bCs/>
          <w:color w:val="000000"/>
          <w:sz w:val="20"/>
          <w:szCs w:val="20"/>
        </w:rPr>
        <w:t>over</w:t>
      </w:r>
      <w:r w:rsidRPr="00AC0729">
        <w:rPr>
          <w:rFonts w:cs="Times New Roman"/>
          <w:color w:val="000000"/>
          <w:sz w:val="20"/>
          <w:szCs w:val="20"/>
        </w:rPr>
        <w:t xml:space="preserve"> $126,264. </w:t>
      </w:r>
      <w:r>
        <w:rPr>
          <w:rFonts w:cs="Times New Roman"/>
          <w:color w:val="000000"/>
          <w:sz w:val="20"/>
          <w:szCs w:val="20"/>
        </w:rPr>
        <w:t>At $32,506 to $40,126 of net income single individuals would also experience a 5% clawback of the GST tax credit.</w:t>
      </w:r>
    </w:p>
    <w:p w:rsidR="00042826" w:rsidRDefault="00042826" w:rsidP="003A401D">
      <w:r w:rsidRPr="00AC0729">
        <w:rPr>
          <w:rFonts w:cs="Times New Roman"/>
          <w:b/>
          <w:color w:val="000000"/>
          <w:sz w:val="20"/>
          <w:szCs w:val="20"/>
        </w:rPr>
        <w:t>Nova Scotia Tax Rates for 2009:</w:t>
      </w:r>
      <w:r w:rsidRPr="00AC0729">
        <w:rPr>
          <w:rFonts w:cs="Times New Roman"/>
          <w:color w:val="000000"/>
          <w:sz w:val="20"/>
          <w:szCs w:val="20"/>
        </w:rPr>
        <w:t xml:space="preserve"> 8.79% on the first $29,590 of taxable income, + 14.95% on the </w:t>
      </w:r>
      <w:r>
        <w:rPr>
          <w:rFonts w:cs="Times New Roman"/>
          <w:color w:val="000000"/>
          <w:sz w:val="20"/>
          <w:szCs w:val="20"/>
        </w:rPr>
        <w:t>next $29,590 (</w:t>
      </w:r>
      <w:r w:rsidRPr="00AC0729">
        <w:rPr>
          <w:rFonts w:cs="Times New Roman"/>
          <w:color w:val="000000"/>
          <w:sz w:val="20"/>
          <w:szCs w:val="20"/>
        </w:rPr>
        <w:t>taxable income between $29,590 and $59,180) + 16.67% on the next $33,820  (taxable income between $59,180 and $93,000) + 17.5% on the amount over $93,000</w:t>
      </w:r>
      <w:r>
        <w:rPr>
          <w:rFonts w:cs="Times New Roman"/>
          <w:color w:val="000000"/>
          <w:sz w:val="20"/>
          <w:szCs w:val="20"/>
        </w:rPr>
        <w:t>. Surtax of 10% for tax owing &gt;$10,000.</w:t>
      </w:r>
    </w:p>
  </w:footnote>
  <w:footnote w:id="17">
    <w:p w:rsidR="00042826" w:rsidRDefault="00042826">
      <w:pPr>
        <w:pStyle w:val="FootnoteText"/>
      </w:pPr>
      <w:r>
        <w:rPr>
          <w:rStyle w:val="FootnoteReference"/>
        </w:rPr>
        <w:footnoteRef/>
      </w:r>
      <w:r>
        <w:t xml:space="preserve"> Taxable income is less than employment income because of the basic personal exemption of $10,320 and the employment deduction of $1,044 for 2009. </w:t>
      </w:r>
    </w:p>
  </w:footnote>
  <w:footnote w:id="18">
    <w:p w:rsidR="00042826" w:rsidRPr="00597E69" w:rsidRDefault="00042826" w:rsidP="00DC3D98">
      <w:pPr>
        <w:pStyle w:val="FootnoteText"/>
        <w:spacing w:after="60"/>
        <w:rPr>
          <w:lang w:val="en-US"/>
        </w:rPr>
      </w:pPr>
      <w:r>
        <w:rPr>
          <w:rStyle w:val="FootnoteReference"/>
        </w:rPr>
        <w:footnoteRef/>
      </w:r>
      <w:r>
        <w:t xml:space="preserve"> This assumption means there is an increase in average hours worked as opposed to an increase in the number of people employed. A rise in the number of people employed would have a lower average tax leakage per dollar increase in output and a higher multiplier, particularly if some of the jobs are part time.</w:t>
      </w:r>
    </w:p>
  </w:footnote>
  <w:footnote w:id="19">
    <w:p w:rsidR="00042826" w:rsidRPr="00C408EB" w:rsidRDefault="00042826" w:rsidP="00DC3D98">
      <w:pPr>
        <w:pStyle w:val="FootnoteText"/>
        <w:spacing w:after="60"/>
      </w:pPr>
      <w:r>
        <w:rPr>
          <w:rStyle w:val="FootnoteReference"/>
        </w:rPr>
        <w:footnoteRef/>
      </w:r>
      <w:r>
        <w:t xml:space="preserve"> Higher ELC wages would impact the multipliers. Clearly, the job multiplier would be lower. The induced effect would be also lower because the MPS and tax rate are higher at higher income levels. There could also be an impact on parents depending on how higher wages are funded. If wages are funded by a fee increase there would be a reduction in the demand for child care services and therefore on mothers’ labour supply.</w:t>
      </w:r>
      <w:r w:rsidR="00F714BE" w:rsidRPr="00F714BE">
        <w:t xml:space="preserve"> </w:t>
      </w:r>
    </w:p>
  </w:footnote>
  <w:footnote w:id="20">
    <w:p w:rsidR="00042826" w:rsidRPr="006C7120" w:rsidRDefault="00042826" w:rsidP="00237D6C">
      <w:pPr>
        <w:pStyle w:val="FootnoteText"/>
        <w:spacing w:after="60"/>
      </w:pPr>
      <w:r>
        <w:rPr>
          <w:rStyle w:val="FootnoteReference"/>
        </w:rPr>
        <w:footnoteRef/>
      </w:r>
      <w:r>
        <w:t xml:space="preserve"> </w:t>
      </w:r>
      <w:r>
        <w:rPr>
          <w:color w:val="000000"/>
        </w:rPr>
        <w:t>The lower labour supply response in European countries could be related to other labour market factors.</w:t>
      </w:r>
    </w:p>
  </w:footnote>
  <w:footnote w:id="21">
    <w:p w:rsidR="00042826" w:rsidRDefault="00042826" w:rsidP="00E85106">
      <w:pPr>
        <w:pStyle w:val="FootnoteText"/>
      </w:pPr>
      <w:r w:rsidRPr="00EA4AC0">
        <w:rPr>
          <w:rStyle w:val="FootnoteReference"/>
        </w:rPr>
        <w:footnoteRef/>
      </w:r>
      <w:r w:rsidRPr="00EA4AC0">
        <w:t xml:space="preserve"> The impact of the expansion of E</w:t>
      </w:r>
      <w:r>
        <w:t>L</w:t>
      </w:r>
      <w:r w:rsidRPr="00EA4AC0">
        <w:t>C services depends on if there is pent-up demand for E</w:t>
      </w:r>
      <w:r>
        <w:t>L</w:t>
      </w:r>
      <w:r w:rsidRPr="00EA4AC0">
        <w:t>C services, and if mothers can find a job. During periods of economic slack when the multiplier effect is at its maximum it is possible that not all of the parents who are assumed to find work as a result of the increased availability of E</w:t>
      </w:r>
      <w:r>
        <w:t>L</w:t>
      </w:r>
      <w:r w:rsidRPr="00EA4AC0">
        <w:t>C will find employment. Notably, the assumption of 0.2</w:t>
      </w:r>
      <w:r>
        <w:t>2</w:t>
      </w:r>
      <w:r w:rsidRPr="00EA4AC0">
        <w:t xml:space="preserve"> mothers finding a job per new </w:t>
      </w:r>
      <w:r>
        <w:t xml:space="preserve">full-time </w:t>
      </w:r>
      <w:r w:rsidRPr="00EA4AC0">
        <w:t xml:space="preserve">child care space implies that the job finding rate </w:t>
      </w:r>
      <w:r>
        <w:t>is at least 22</w:t>
      </w:r>
      <w:r w:rsidRPr="00EA4AC0">
        <w:t xml:space="preserve">% </w:t>
      </w:r>
      <w:r>
        <w:t xml:space="preserve">and as much as </w:t>
      </w:r>
      <w:r w:rsidR="00D9599D">
        <w:t>29</w:t>
      </w:r>
      <w:r>
        <w:t>.</w:t>
      </w:r>
      <w:r w:rsidR="00D9599D">
        <w:t>5</w:t>
      </w:r>
      <w:r>
        <w:t xml:space="preserve">% if the same percentage of mothers look for work as their </w:t>
      </w:r>
      <w:r w:rsidR="00D9599D">
        <w:t>participation</w:t>
      </w:r>
      <w:r>
        <w:t xml:space="preserve"> rate </w:t>
      </w:r>
      <w:r w:rsidR="00D9599D">
        <w:t xml:space="preserve">of 74.6% </w:t>
      </w:r>
      <w:r>
        <w:t>in the 2006 census</w:t>
      </w:r>
      <w:r w:rsidRPr="00EA4AC0">
        <w:t>. Given that using Shimer’s (2005) approach the overall job finding rate might fall to around 40% during a recession</w:t>
      </w:r>
      <w:r w:rsidR="00D9599D">
        <w:t>, the</w:t>
      </w:r>
      <w:r>
        <w:t xml:space="preserve"> assumption </w:t>
      </w:r>
      <w:r w:rsidR="00D9599D">
        <w:t xml:space="preserve">that 22 mothers out of one hundred find work </w:t>
      </w:r>
      <w:r>
        <w:t>seems reasonable if not conservative</w:t>
      </w:r>
      <w:r w:rsidRPr="00EA4AC0">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26" w:rsidRPr="007D1656" w:rsidRDefault="009D2560">
    <w:pPr>
      <w:pStyle w:val="Header"/>
      <w:rPr>
        <w:i/>
        <w:sz w:val="18"/>
        <w:szCs w:val="18"/>
      </w:rPr>
    </w:pPr>
    <w:r w:rsidRPr="009D2560">
      <w:rPr>
        <w:rFonts w:cs="Times New Roman"/>
        <w:i/>
        <w:sz w:val="18"/>
        <w:szCs w:val="18"/>
      </w:rPr>
      <w:t>Short-term Impact Analysis of an Expansion of Formal Early Learning and Care in Nova Scotia</w:t>
    </w:r>
    <w:r w:rsidR="00042826">
      <w:rPr>
        <w:i/>
        <w:sz w:val="18"/>
        <w:szCs w:val="18"/>
      </w:rPr>
      <w:tab/>
    </w:r>
    <w:r w:rsidR="00042826" w:rsidRPr="007027C6">
      <w:rPr>
        <w:i/>
        <w:sz w:val="18"/>
        <w:szCs w:val="18"/>
      </w:rPr>
      <w:t xml:space="preserve"> Page </w:t>
    </w:r>
    <w:r w:rsidR="0023080D" w:rsidRPr="007027C6">
      <w:rPr>
        <w:rStyle w:val="PageNumber"/>
        <w:i/>
        <w:iCs/>
        <w:sz w:val="18"/>
        <w:szCs w:val="18"/>
      </w:rPr>
      <w:fldChar w:fldCharType="begin"/>
    </w:r>
    <w:r w:rsidR="00042826" w:rsidRPr="007027C6">
      <w:rPr>
        <w:rStyle w:val="PageNumber"/>
        <w:i/>
        <w:iCs/>
        <w:sz w:val="18"/>
        <w:szCs w:val="18"/>
      </w:rPr>
      <w:instrText xml:space="preserve"> PAGE </w:instrText>
    </w:r>
    <w:r w:rsidR="0023080D" w:rsidRPr="007027C6">
      <w:rPr>
        <w:rStyle w:val="PageNumber"/>
        <w:i/>
        <w:iCs/>
        <w:sz w:val="18"/>
        <w:szCs w:val="18"/>
      </w:rPr>
      <w:fldChar w:fldCharType="separate"/>
    </w:r>
    <w:r w:rsidR="00C361A5">
      <w:rPr>
        <w:rStyle w:val="PageNumber"/>
        <w:i/>
        <w:iCs/>
        <w:noProof/>
        <w:sz w:val="18"/>
        <w:szCs w:val="18"/>
      </w:rPr>
      <w:t>30</w:t>
    </w:r>
    <w:r w:rsidR="0023080D" w:rsidRPr="007027C6">
      <w:rPr>
        <w:rStyle w:val="PageNumber"/>
        <w:i/>
        <w:iCs/>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0C1D8A"/>
    <w:lvl w:ilvl="0">
      <w:start w:val="1"/>
      <w:numFmt w:val="decimal"/>
      <w:lvlText w:val="%1."/>
      <w:lvlJc w:val="left"/>
      <w:pPr>
        <w:tabs>
          <w:tab w:val="num" w:pos="1492"/>
        </w:tabs>
        <w:ind w:left="1492" w:hanging="360"/>
      </w:pPr>
    </w:lvl>
  </w:abstractNum>
  <w:abstractNum w:abstractNumId="1">
    <w:nsid w:val="FFFFFF7D"/>
    <w:multiLevelType w:val="singleLevel"/>
    <w:tmpl w:val="31A846A0"/>
    <w:lvl w:ilvl="0">
      <w:start w:val="1"/>
      <w:numFmt w:val="decimal"/>
      <w:lvlText w:val="%1."/>
      <w:lvlJc w:val="left"/>
      <w:pPr>
        <w:tabs>
          <w:tab w:val="num" w:pos="1209"/>
        </w:tabs>
        <w:ind w:left="1209" w:hanging="360"/>
      </w:pPr>
    </w:lvl>
  </w:abstractNum>
  <w:abstractNum w:abstractNumId="2">
    <w:nsid w:val="FFFFFF7E"/>
    <w:multiLevelType w:val="singleLevel"/>
    <w:tmpl w:val="0504C690"/>
    <w:lvl w:ilvl="0">
      <w:start w:val="1"/>
      <w:numFmt w:val="decimal"/>
      <w:lvlText w:val="%1."/>
      <w:lvlJc w:val="left"/>
      <w:pPr>
        <w:tabs>
          <w:tab w:val="num" w:pos="926"/>
        </w:tabs>
        <w:ind w:left="926" w:hanging="360"/>
      </w:pPr>
    </w:lvl>
  </w:abstractNum>
  <w:abstractNum w:abstractNumId="3">
    <w:nsid w:val="FFFFFF7F"/>
    <w:multiLevelType w:val="singleLevel"/>
    <w:tmpl w:val="F28C9880"/>
    <w:lvl w:ilvl="0">
      <w:start w:val="1"/>
      <w:numFmt w:val="decimal"/>
      <w:lvlText w:val="%1."/>
      <w:lvlJc w:val="left"/>
      <w:pPr>
        <w:tabs>
          <w:tab w:val="num" w:pos="643"/>
        </w:tabs>
        <w:ind w:left="643" w:hanging="360"/>
      </w:pPr>
    </w:lvl>
  </w:abstractNum>
  <w:abstractNum w:abstractNumId="4">
    <w:nsid w:val="FFFFFF80"/>
    <w:multiLevelType w:val="singleLevel"/>
    <w:tmpl w:val="5D8AC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728A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DA1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96B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A25810"/>
    <w:lvl w:ilvl="0">
      <w:start w:val="1"/>
      <w:numFmt w:val="decimal"/>
      <w:lvlText w:val="%1."/>
      <w:lvlJc w:val="left"/>
      <w:pPr>
        <w:tabs>
          <w:tab w:val="num" w:pos="360"/>
        </w:tabs>
        <w:ind w:left="360" w:hanging="360"/>
      </w:pPr>
    </w:lvl>
  </w:abstractNum>
  <w:abstractNum w:abstractNumId="9">
    <w:nsid w:val="FFFFFF89"/>
    <w:multiLevelType w:val="singleLevel"/>
    <w:tmpl w:val="B8BEFD9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3283D32"/>
    <w:multiLevelType w:val="hybridMultilevel"/>
    <w:tmpl w:val="6F8CC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C51F3"/>
    <w:multiLevelType w:val="hybridMultilevel"/>
    <w:tmpl w:val="3D207C6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67030E1"/>
    <w:multiLevelType w:val="hybridMultilevel"/>
    <w:tmpl w:val="A49A10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9165088"/>
    <w:multiLevelType w:val="hybridMultilevel"/>
    <w:tmpl w:val="682827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094E20DE"/>
    <w:multiLevelType w:val="hybridMultilevel"/>
    <w:tmpl w:val="436881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DC65C45"/>
    <w:multiLevelType w:val="hybridMultilevel"/>
    <w:tmpl w:val="1082C35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23147E12"/>
    <w:multiLevelType w:val="hybridMultilevel"/>
    <w:tmpl w:val="7E68D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19336C"/>
    <w:multiLevelType w:val="hybridMultilevel"/>
    <w:tmpl w:val="F9CC9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9171136"/>
    <w:multiLevelType w:val="hybridMultilevel"/>
    <w:tmpl w:val="CC346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37C4DEF"/>
    <w:multiLevelType w:val="hybridMultilevel"/>
    <w:tmpl w:val="24C4C7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5DC6764"/>
    <w:multiLevelType w:val="hybridMultilevel"/>
    <w:tmpl w:val="7E9CA59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6470834"/>
    <w:multiLevelType w:val="hybridMultilevel"/>
    <w:tmpl w:val="DCB470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8060A58"/>
    <w:multiLevelType w:val="hybridMultilevel"/>
    <w:tmpl w:val="1B6081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F013B5"/>
    <w:multiLevelType w:val="hybridMultilevel"/>
    <w:tmpl w:val="554E24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3C1B2332"/>
    <w:multiLevelType w:val="hybridMultilevel"/>
    <w:tmpl w:val="E6B65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044E55"/>
    <w:multiLevelType w:val="hybridMultilevel"/>
    <w:tmpl w:val="9E5801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B541B47"/>
    <w:multiLevelType w:val="hybridMultilevel"/>
    <w:tmpl w:val="7CC87550"/>
    <w:lvl w:ilvl="0" w:tplc="34F86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1B689A"/>
    <w:multiLevelType w:val="hybridMultilevel"/>
    <w:tmpl w:val="30C677CC"/>
    <w:lvl w:ilvl="0" w:tplc="4C34D740">
      <w:start w:val="1"/>
      <w:numFmt w:val="decimal"/>
      <w:lvlText w:val="%1)"/>
      <w:lvlJc w:val="left"/>
      <w:pPr>
        <w:tabs>
          <w:tab w:val="num" w:pos="720"/>
        </w:tabs>
        <w:ind w:left="720" w:hanging="360"/>
      </w:pPr>
    </w:lvl>
    <w:lvl w:ilvl="1" w:tplc="44A4BA40">
      <w:start w:val="1"/>
      <w:numFmt w:val="decimal"/>
      <w:lvlText w:val="%2)"/>
      <w:lvlJc w:val="left"/>
      <w:pPr>
        <w:tabs>
          <w:tab w:val="num" w:pos="1440"/>
        </w:tabs>
        <w:ind w:left="1440" w:hanging="360"/>
      </w:pPr>
    </w:lvl>
    <w:lvl w:ilvl="2" w:tplc="E13C67C0">
      <w:start w:val="1"/>
      <w:numFmt w:val="decimal"/>
      <w:lvlText w:val="%3)"/>
      <w:lvlJc w:val="left"/>
      <w:pPr>
        <w:tabs>
          <w:tab w:val="num" w:pos="2160"/>
        </w:tabs>
        <w:ind w:left="2160" w:hanging="360"/>
      </w:pPr>
    </w:lvl>
    <w:lvl w:ilvl="3" w:tplc="D1A4FB44" w:tentative="1">
      <w:start w:val="1"/>
      <w:numFmt w:val="decimal"/>
      <w:lvlText w:val="%4)"/>
      <w:lvlJc w:val="left"/>
      <w:pPr>
        <w:tabs>
          <w:tab w:val="num" w:pos="2880"/>
        </w:tabs>
        <w:ind w:left="2880" w:hanging="360"/>
      </w:pPr>
    </w:lvl>
    <w:lvl w:ilvl="4" w:tplc="F1167C24" w:tentative="1">
      <w:start w:val="1"/>
      <w:numFmt w:val="decimal"/>
      <w:lvlText w:val="%5)"/>
      <w:lvlJc w:val="left"/>
      <w:pPr>
        <w:tabs>
          <w:tab w:val="num" w:pos="3600"/>
        </w:tabs>
        <w:ind w:left="3600" w:hanging="360"/>
      </w:pPr>
    </w:lvl>
    <w:lvl w:ilvl="5" w:tplc="FDECDA5C" w:tentative="1">
      <w:start w:val="1"/>
      <w:numFmt w:val="decimal"/>
      <w:lvlText w:val="%6)"/>
      <w:lvlJc w:val="left"/>
      <w:pPr>
        <w:tabs>
          <w:tab w:val="num" w:pos="4320"/>
        </w:tabs>
        <w:ind w:left="4320" w:hanging="360"/>
      </w:pPr>
    </w:lvl>
    <w:lvl w:ilvl="6" w:tplc="93F211B0" w:tentative="1">
      <w:start w:val="1"/>
      <w:numFmt w:val="decimal"/>
      <w:lvlText w:val="%7)"/>
      <w:lvlJc w:val="left"/>
      <w:pPr>
        <w:tabs>
          <w:tab w:val="num" w:pos="5040"/>
        </w:tabs>
        <w:ind w:left="5040" w:hanging="360"/>
      </w:pPr>
    </w:lvl>
    <w:lvl w:ilvl="7" w:tplc="E3F6F780" w:tentative="1">
      <w:start w:val="1"/>
      <w:numFmt w:val="decimal"/>
      <w:lvlText w:val="%8)"/>
      <w:lvlJc w:val="left"/>
      <w:pPr>
        <w:tabs>
          <w:tab w:val="num" w:pos="5760"/>
        </w:tabs>
        <w:ind w:left="5760" w:hanging="360"/>
      </w:pPr>
    </w:lvl>
    <w:lvl w:ilvl="8" w:tplc="B47CA400" w:tentative="1">
      <w:start w:val="1"/>
      <w:numFmt w:val="decimal"/>
      <w:lvlText w:val="%9)"/>
      <w:lvlJc w:val="left"/>
      <w:pPr>
        <w:tabs>
          <w:tab w:val="num" w:pos="6480"/>
        </w:tabs>
        <w:ind w:left="6480" w:hanging="360"/>
      </w:pPr>
    </w:lvl>
  </w:abstractNum>
  <w:abstractNum w:abstractNumId="29">
    <w:nsid w:val="4D4B71A1"/>
    <w:multiLevelType w:val="hybridMultilevel"/>
    <w:tmpl w:val="FA5C35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03017F"/>
    <w:multiLevelType w:val="hybridMultilevel"/>
    <w:tmpl w:val="986266FC"/>
    <w:lvl w:ilvl="0" w:tplc="9B28B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C83FF7"/>
    <w:multiLevelType w:val="hybridMultilevel"/>
    <w:tmpl w:val="2DF43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37E5165"/>
    <w:multiLevelType w:val="hybridMultilevel"/>
    <w:tmpl w:val="F4EA5300"/>
    <w:lvl w:ilvl="0" w:tplc="10090001">
      <w:start w:val="3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36423E"/>
    <w:multiLevelType w:val="hybridMultilevel"/>
    <w:tmpl w:val="16120D3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65633E"/>
    <w:multiLevelType w:val="hybridMultilevel"/>
    <w:tmpl w:val="1D860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0171BF"/>
    <w:multiLevelType w:val="hybridMultilevel"/>
    <w:tmpl w:val="21844CA0"/>
    <w:lvl w:ilvl="0" w:tplc="74CADB42">
      <w:start w:val="33"/>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8A34A7C"/>
    <w:multiLevelType w:val="hybridMultilevel"/>
    <w:tmpl w:val="60CE20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AD46F2C"/>
    <w:multiLevelType w:val="hybridMultilevel"/>
    <w:tmpl w:val="EF10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5C71FC"/>
    <w:multiLevelType w:val="hybridMultilevel"/>
    <w:tmpl w:val="5CB2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73574F"/>
    <w:multiLevelType w:val="hybridMultilevel"/>
    <w:tmpl w:val="7346B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38"/>
  </w:num>
  <w:num w:numId="4">
    <w:abstractNumId w:val="34"/>
  </w:num>
  <w:num w:numId="5">
    <w:abstractNumId w:val="21"/>
  </w:num>
  <w:num w:numId="6">
    <w:abstractNumId w:val="39"/>
  </w:num>
  <w:num w:numId="7">
    <w:abstractNumId w:val="28"/>
  </w:num>
  <w:num w:numId="8">
    <w:abstractNumId w:val="12"/>
  </w:num>
  <w:num w:numId="9">
    <w:abstractNumId w:val="17"/>
  </w:num>
  <w:num w:numId="10">
    <w:abstractNumId w:val="31"/>
  </w:num>
  <w:num w:numId="11">
    <w:abstractNumId w:val="26"/>
  </w:num>
  <w:num w:numId="12">
    <w:abstractNumId w:val="14"/>
  </w:num>
  <w:num w:numId="13">
    <w:abstractNumId w:val="20"/>
  </w:num>
  <w:num w:numId="14">
    <w:abstractNumId w:val="24"/>
  </w:num>
  <w:num w:numId="15">
    <w:abstractNumId w:val="22"/>
  </w:num>
  <w:num w:numId="16">
    <w:abstractNumId w:val="36"/>
  </w:num>
  <w:num w:numId="17">
    <w:abstractNumId w:val="19"/>
  </w:num>
  <w:num w:numId="18">
    <w:abstractNumId w:val="18"/>
  </w:num>
  <w:num w:numId="19">
    <w:abstractNumId w:val="13"/>
  </w:num>
  <w:num w:numId="20">
    <w:abstractNumId w:val="15"/>
  </w:num>
  <w:num w:numId="21">
    <w:abstractNumId w:val="37"/>
  </w:num>
  <w:num w:numId="22">
    <w:abstractNumId w:val="16"/>
  </w:num>
  <w:num w:numId="23">
    <w:abstractNumId w:val="1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9"/>
  </w:num>
  <w:num w:numId="35">
    <w:abstractNumId w:val="33"/>
  </w:num>
  <w:num w:numId="36">
    <w:abstractNumId w:val="30"/>
  </w:num>
  <w:num w:numId="37">
    <w:abstractNumId w:val="11"/>
  </w:num>
  <w:num w:numId="38">
    <w:abstractNumId w:val="27"/>
  </w:num>
  <w:num w:numId="39">
    <w:abstractNumId w:val="3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645649"/>
    <w:rsid w:val="00002D14"/>
    <w:rsid w:val="00003E00"/>
    <w:rsid w:val="0000502B"/>
    <w:rsid w:val="00007BD1"/>
    <w:rsid w:val="00013C24"/>
    <w:rsid w:val="00015938"/>
    <w:rsid w:val="00016CC4"/>
    <w:rsid w:val="0001763C"/>
    <w:rsid w:val="00025EA1"/>
    <w:rsid w:val="00030DE3"/>
    <w:rsid w:val="00033603"/>
    <w:rsid w:val="00037E2D"/>
    <w:rsid w:val="00040783"/>
    <w:rsid w:val="00041515"/>
    <w:rsid w:val="00042826"/>
    <w:rsid w:val="00042E0C"/>
    <w:rsid w:val="00046759"/>
    <w:rsid w:val="00046FBA"/>
    <w:rsid w:val="00050F42"/>
    <w:rsid w:val="0005195D"/>
    <w:rsid w:val="0005708F"/>
    <w:rsid w:val="000571F5"/>
    <w:rsid w:val="000612EC"/>
    <w:rsid w:val="0006137D"/>
    <w:rsid w:val="0007150C"/>
    <w:rsid w:val="000757E4"/>
    <w:rsid w:val="000801B4"/>
    <w:rsid w:val="000875F7"/>
    <w:rsid w:val="00095C1C"/>
    <w:rsid w:val="00096121"/>
    <w:rsid w:val="000962B5"/>
    <w:rsid w:val="00097543"/>
    <w:rsid w:val="000A583E"/>
    <w:rsid w:val="000B15C6"/>
    <w:rsid w:val="000B74F1"/>
    <w:rsid w:val="000B7C51"/>
    <w:rsid w:val="000C0974"/>
    <w:rsid w:val="000C1350"/>
    <w:rsid w:val="000C2640"/>
    <w:rsid w:val="000C3697"/>
    <w:rsid w:val="000C48B5"/>
    <w:rsid w:val="000D23CD"/>
    <w:rsid w:val="000D46F8"/>
    <w:rsid w:val="000D78AD"/>
    <w:rsid w:val="000E0262"/>
    <w:rsid w:val="000E2F20"/>
    <w:rsid w:val="000E719A"/>
    <w:rsid w:val="000F2252"/>
    <w:rsid w:val="000F22FC"/>
    <w:rsid w:val="000F6B28"/>
    <w:rsid w:val="00100FF2"/>
    <w:rsid w:val="00101AAA"/>
    <w:rsid w:val="00102797"/>
    <w:rsid w:val="001051BC"/>
    <w:rsid w:val="001053EB"/>
    <w:rsid w:val="0010586B"/>
    <w:rsid w:val="001064A4"/>
    <w:rsid w:val="00107623"/>
    <w:rsid w:val="00111519"/>
    <w:rsid w:val="00111606"/>
    <w:rsid w:val="00115F49"/>
    <w:rsid w:val="001161CD"/>
    <w:rsid w:val="0011647E"/>
    <w:rsid w:val="00123599"/>
    <w:rsid w:val="001237B3"/>
    <w:rsid w:val="001251B8"/>
    <w:rsid w:val="00125414"/>
    <w:rsid w:val="00125498"/>
    <w:rsid w:val="00126536"/>
    <w:rsid w:val="00126BA8"/>
    <w:rsid w:val="00133556"/>
    <w:rsid w:val="00134FC6"/>
    <w:rsid w:val="00136A6F"/>
    <w:rsid w:val="00140AE3"/>
    <w:rsid w:val="001421C3"/>
    <w:rsid w:val="00152869"/>
    <w:rsid w:val="00153FE0"/>
    <w:rsid w:val="00154745"/>
    <w:rsid w:val="001554AC"/>
    <w:rsid w:val="001555E1"/>
    <w:rsid w:val="0015640D"/>
    <w:rsid w:val="00157536"/>
    <w:rsid w:val="0016001E"/>
    <w:rsid w:val="00160CC5"/>
    <w:rsid w:val="00162509"/>
    <w:rsid w:val="00163012"/>
    <w:rsid w:val="00166D92"/>
    <w:rsid w:val="00167D17"/>
    <w:rsid w:val="00173BE1"/>
    <w:rsid w:val="001749DA"/>
    <w:rsid w:val="001750B1"/>
    <w:rsid w:val="00176FAD"/>
    <w:rsid w:val="00187043"/>
    <w:rsid w:val="00190CD8"/>
    <w:rsid w:val="00193532"/>
    <w:rsid w:val="00195C81"/>
    <w:rsid w:val="001963C5"/>
    <w:rsid w:val="001A257E"/>
    <w:rsid w:val="001A47EB"/>
    <w:rsid w:val="001B0D2C"/>
    <w:rsid w:val="001B2506"/>
    <w:rsid w:val="001B466D"/>
    <w:rsid w:val="001B73C1"/>
    <w:rsid w:val="001B7E35"/>
    <w:rsid w:val="001C0D7D"/>
    <w:rsid w:val="001C35CE"/>
    <w:rsid w:val="001C40E0"/>
    <w:rsid w:val="001C4B11"/>
    <w:rsid w:val="001D6B97"/>
    <w:rsid w:val="001E061D"/>
    <w:rsid w:val="001E2264"/>
    <w:rsid w:val="001E4DF4"/>
    <w:rsid w:val="001E7140"/>
    <w:rsid w:val="001F4316"/>
    <w:rsid w:val="001F47D0"/>
    <w:rsid w:val="00200115"/>
    <w:rsid w:val="00204E4C"/>
    <w:rsid w:val="002111E0"/>
    <w:rsid w:val="00211B44"/>
    <w:rsid w:val="00214A68"/>
    <w:rsid w:val="00215A41"/>
    <w:rsid w:val="00216F44"/>
    <w:rsid w:val="002178C9"/>
    <w:rsid w:val="00222862"/>
    <w:rsid w:val="00224DF9"/>
    <w:rsid w:val="0023080D"/>
    <w:rsid w:val="00230E05"/>
    <w:rsid w:val="00235869"/>
    <w:rsid w:val="00237D6C"/>
    <w:rsid w:val="00240A8F"/>
    <w:rsid w:val="00241E85"/>
    <w:rsid w:val="002428D3"/>
    <w:rsid w:val="00244BDB"/>
    <w:rsid w:val="00245981"/>
    <w:rsid w:val="00251C93"/>
    <w:rsid w:val="00252DBC"/>
    <w:rsid w:val="00253DBC"/>
    <w:rsid w:val="00254985"/>
    <w:rsid w:val="00262C9D"/>
    <w:rsid w:val="0026444C"/>
    <w:rsid w:val="00267804"/>
    <w:rsid w:val="00267D67"/>
    <w:rsid w:val="0027096B"/>
    <w:rsid w:val="00271D87"/>
    <w:rsid w:val="002757A5"/>
    <w:rsid w:val="00276A9E"/>
    <w:rsid w:val="00280065"/>
    <w:rsid w:val="002817CB"/>
    <w:rsid w:val="002825C5"/>
    <w:rsid w:val="002833B2"/>
    <w:rsid w:val="0029570F"/>
    <w:rsid w:val="00296841"/>
    <w:rsid w:val="00297D9C"/>
    <w:rsid w:val="002A032F"/>
    <w:rsid w:val="002A0620"/>
    <w:rsid w:val="002A3F2A"/>
    <w:rsid w:val="002A5453"/>
    <w:rsid w:val="002A5DBF"/>
    <w:rsid w:val="002A7D91"/>
    <w:rsid w:val="002B01EE"/>
    <w:rsid w:val="002B5151"/>
    <w:rsid w:val="002B58CB"/>
    <w:rsid w:val="002C1543"/>
    <w:rsid w:val="002C1715"/>
    <w:rsid w:val="002C1BD5"/>
    <w:rsid w:val="002C3DB1"/>
    <w:rsid w:val="002C5129"/>
    <w:rsid w:val="002C6EDC"/>
    <w:rsid w:val="002D275B"/>
    <w:rsid w:val="002D31C1"/>
    <w:rsid w:val="002E0F1A"/>
    <w:rsid w:val="002E73A5"/>
    <w:rsid w:val="002F0043"/>
    <w:rsid w:val="002F4841"/>
    <w:rsid w:val="002F4FEB"/>
    <w:rsid w:val="002F702F"/>
    <w:rsid w:val="003017F8"/>
    <w:rsid w:val="00305274"/>
    <w:rsid w:val="00307927"/>
    <w:rsid w:val="003112B2"/>
    <w:rsid w:val="00311B5C"/>
    <w:rsid w:val="003138FE"/>
    <w:rsid w:val="00320B58"/>
    <w:rsid w:val="00321C33"/>
    <w:rsid w:val="0032525F"/>
    <w:rsid w:val="0033034B"/>
    <w:rsid w:val="003322B0"/>
    <w:rsid w:val="003331F0"/>
    <w:rsid w:val="00335B9B"/>
    <w:rsid w:val="0033682A"/>
    <w:rsid w:val="00337540"/>
    <w:rsid w:val="00337B26"/>
    <w:rsid w:val="00343A30"/>
    <w:rsid w:val="00343F5E"/>
    <w:rsid w:val="003451DD"/>
    <w:rsid w:val="00350FA0"/>
    <w:rsid w:val="00351CCF"/>
    <w:rsid w:val="0035205B"/>
    <w:rsid w:val="00353AF6"/>
    <w:rsid w:val="00353E94"/>
    <w:rsid w:val="00355EF3"/>
    <w:rsid w:val="00357B20"/>
    <w:rsid w:val="00357B3E"/>
    <w:rsid w:val="0036128E"/>
    <w:rsid w:val="00361564"/>
    <w:rsid w:val="00363590"/>
    <w:rsid w:val="00363C97"/>
    <w:rsid w:val="00367900"/>
    <w:rsid w:val="0037002C"/>
    <w:rsid w:val="003707CF"/>
    <w:rsid w:val="0037129F"/>
    <w:rsid w:val="0037161E"/>
    <w:rsid w:val="00373370"/>
    <w:rsid w:val="00373677"/>
    <w:rsid w:val="0037427E"/>
    <w:rsid w:val="00380C05"/>
    <w:rsid w:val="003938DF"/>
    <w:rsid w:val="0039683B"/>
    <w:rsid w:val="00397C81"/>
    <w:rsid w:val="003A0695"/>
    <w:rsid w:val="003A3922"/>
    <w:rsid w:val="003A401D"/>
    <w:rsid w:val="003A66A9"/>
    <w:rsid w:val="003C0A54"/>
    <w:rsid w:val="003C0DDF"/>
    <w:rsid w:val="003C1540"/>
    <w:rsid w:val="003C1827"/>
    <w:rsid w:val="003C50CA"/>
    <w:rsid w:val="003C7927"/>
    <w:rsid w:val="003C7A7A"/>
    <w:rsid w:val="003D3A18"/>
    <w:rsid w:val="003D5C58"/>
    <w:rsid w:val="003E0BD8"/>
    <w:rsid w:val="003E13A8"/>
    <w:rsid w:val="003E272A"/>
    <w:rsid w:val="003E3300"/>
    <w:rsid w:val="003E36E7"/>
    <w:rsid w:val="003E4F90"/>
    <w:rsid w:val="003E5587"/>
    <w:rsid w:val="003E71F0"/>
    <w:rsid w:val="003F5A38"/>
    <w:rsid w:val="00402B60"/>
    <w:rsid w:val="00403C3F"/>
    <w:rsid w:val="00406532"/>
    <w:rsid w:val="00406BA2"/>
    <w:rsid w:val="004071F2"/>
    <w:rsid w:val="004074E8"/>
    <w:rsid w:val="004079C4"/>
    <w:rsid w:val="004103B9"/>
    <w:rsid w:val="00410A10"/>
    <w:rsid w:val="00413535"/>
    <w:rsid w:val="00416D6C"/>
    <w:rsid w:val="0042231E"/>
    <w:rsid w:val="0042574B"/>
    <w:rsid w:val="004279C6"/>
    <w:rsid w:val="00431E85"/>
    <w:rsid w:val="00433055"/>
    <w:rsid w:val="0043416E"/>
    <w:rsid w:val="00434FF5"/>
    <w:rsid w:val="00435453"/>
    <w:rsid w:val="00435908"/>
    <w:rsid w:val="0043796C"/>
    <w:rsid w:val="00437D60"/>
    <w:rsid w:val="00443D34"/>
    <w:rsid w:val="00452E2B"/>
    <w:rsid w:val="00453CD0"/>
    <w:rsid w:val="00456F0F"/>
    <w:rsid w:val="004578C7"/>
    <w:rsid w:val="00463AAA"/>
    <w:rsid w:val="004640EB"/>
    <w:rsid w:val="0046780D"/>
    <w:rsid w:val="0047080C"/>
    <w:rsid w:val="00472B2C"/>
    <w:rsid w:val="00474DCF"/>
    <w:rsid w:val="004757FE"/>
    <w:rsid w:val="00477112"/>
    <w:rsid w:val="0048394E"/>
    <w:rsid w:val="00485C6F"/>
    <w:rsid w:val="004872D3"/>
    <w:rsid w:val="00491373"/>
    <w:rsid w:val="00494567"/>
    <w:rsid w:val="00495511"/>
    <w:rsid w:val="00497DD0"/>
    <w:rsid w:val="004A159F"/>
    <w:rsid w:val="004A35FF"/>
    <w:rsid w:val="004B09CC"/>
    <w:rsid w:val="004B3454"/>
    <w:rsid w:val="004B7D82"/>
    <w:rsid w:val="004B7FCD"/>
    <w:rsid w:val="004C51CD"/>
    <w:rsid w:val="004C6DC8"/>
    <w:rsid w:val="004D11C2"/>
    <w:rsid w:val="004D4463"/>
    <w:rsid w:val="004D4AC3"/>
    <w:rsid w:val="004D544C"/>
    <w:rsid w:val="004D7EA6"/>
    <w:rsid w:val="004E011C"/>
    <w:rsid w:val="004E06B4"/>
    <w:rsid w:val="004E1FD4"/>
    <w:rsid w:val="004E27DB"/>
    <w:rsid w:val="004E2F78"/>
    <w:rsid w:val="004E484B"/>
    <w:rsid w:val="004E74F4"/>
    <w:rsid w:val="004E7AF3"/>
    <w:rsid w:val="004F78C8"/>
    <w:rsid w:val="005043BB"/>
    <w:rsid w:val="005072C3"/>
    <w:rsid w:val="005072F5"/>
    <w:rsid w:val="00512BC0"/>
    <w:rsid w:val="00512F97"/>
    <w:rsid w:val="00513BA8"/>
    <w:rsid w:val="005153F4"/>
    <w:rsid w:val="00515E94"/>
    <w:rsid w:val="0051728A"/>
    <w:rsid w:val="00517FFD"/>
    <w:rsid w:val="005217A8"/>
    <w:rsid w:val="005270C0"/>
    <w:rsid w:val="00527D49"/>
    <w:rsid w:val="00533786"/>
    <w:rsid w:val="00537860"/>
    <w:rsid w:val="00542058"/>
    <w:rsid w:val="00544961"/>
    <w:rsid w:val="0054684A"/>
    <w:rsid w:val="00561213"/>
    <w:rsid w:val="00562C6F"/>
    <w:rsid w:val="00565E7A"/>
    <w:rsid w:val="005711E3"/>
    <w:rsid w:val="005713AF"/>
    <w:rsid w:val="00571AD8"/>
    <w:rsid w:val="005720C0"/>
    <w:rsid w:val="00573FD7"/>
    <w:rsid w:val="005773C3"/>
    <w:rsid w:val="00577F4B"/>
    <w:rsid w:val="00583710"/>
    <w:rsid w:val="005873F4"/>
    <w:rsid w:val="00590ED5"/>
    <w:rsid w:val="005936FD"/>
    <w:rsid w:val="00593C33"/>
    <w:rsid w:val="005970F6"/>
    <w:rsid w:val="005A6025"/>
    <w:rsid w:val="005A63B8"/>
    <w:rsid w:val="005B1ED3"/>
    <w:rsid w:val="005C0C71"/>
    <w:rsid w:val="005C6092"/>
    <w:rsid w:val="005D15A8"/>
    <w:rsid w:val="005E206D"/>
    <w:rsid w:val="005E2FD4"/>
    <w:rsid w:val="005E2FE8"/>
    <w:rsid w:val="005E7F72"/>
    <w:rsid w:val="005F3F57"/>
    <w:rsid w:val="005F69A9"/>
    <w:rsid w:val="0060021C"/>
    <w:rsid w:val="00604AA4"/>
    <w:rsid w:val="00615029"/>
    <w:rsid w:val="0061765E"/>
    <w:rsid w:val="00620DEB"/>
    <w:rsid w:val="00625B0C"/>
    <w:rsid w:val="00625B71"/>
    <w:rsid w:val="0062681F"/>
    <w:rsid w:val="0063196E"/>
    <w:rsid w:val="00631FC8"/>
    <w:rsid w:val="006333EE"/>
    <w:rsid w:val="00633B9F"/>
    <w:rsid w:val="00634365"/>
    <w:rsid w:val="0063689D"/>
    <w:rsid w:val="0063792A"/>
    <w:rsid w:val="00643482"/>
    <w:rsid w:val="00645649"/>
    <w:rsid w:val="00645EAB"/>
    <w:rsid w:val="0064709A"/>
    <w:rsid w:val="006500E5"/>
    <w:rsid w:val="00657E17"/>
    <w:rsid w:val="00664192"/>
    <w:rsid w:val="0067296E"/>
    <w:rsid w:val="00672B5C"/>
    <w:rsid w:val="006751FD"/>
    <w:rsid w:val="006807AD"/>
    <w:rsid w:val="006820FE"/>
    <w:rsid w:val="00683B3B"/>
    <w:rsid w:val="00685623"/>
    <w:rsid w:val="00686FD5"/>
    <w:rsid w:val="006916F2"/>
    <w:rsid w:val="00691BE0"/>
    <w:rsid w:val="00692E78"/>
    <w:rsid w:val="00695938"/>
    <w:rsid w:val="00696553"/>
    <w:rsid w:val="00697974"/>
    <w:rsid w:val="006A05C7"/>
    <w:rsid w:val="006A246F"/>
    <w:rsid w:val="006A2C50"/>
    <w:rsid w:val="006A341F"/>
    <w:rsid w:val="006A6549"/>
    <w:rsid w:val="006A78F4"/>
    <w:rsid w:val="006B0DF2"/>
    <w:rsid w:val="006B541F"/>
    <w:rsid w:val="006C22A0"/>
    <w:rsid w:val="006C250E"/>
    <w:rsid w:val="006C4FFA"/>
    <w:rsid w:val="006C592E"/>
    <w:rsid w:val="006C6133"/>
    <w:rsid w:val="006C75D2"/>
    <w:rsid w:val="006D0657"/>
    <w:rsid w:val="006D4105"/>
    <w:rsid w:val="006D4CEE"/>
    <w:rsid w:val="006D5880"/>
    <w:rsid w:val="006D5E55"/>
    <w:rsid w:val="006E208C"/>
    <w:rsid w:val="006E3F8D"/>
    <w:rsid w:val="006E5C1F"/>
    <w:rsid w:val="006E6387"/>
    <w:rsid w:val="006F001E"/>
    <w:rsid w:val="006F0665"/>
    <w:rsid w:val="006F0C57"/>
    <w:rsid w:val="006F1466"/>
    <w:rsid w:val="006F15BA"/>
    <w:rsid w:val="006F3CE9"/>
    <w:rsid w:val="006F491E"/>
    <w:rsid w:val="006F5E85"/>
    <w:rsid w:val="006F63AA"/>
    <w:rsid w:val="0070031A"/>
    <w:rsid w:val="0070117F"/>
    <w:rsid w:val="00702F2E"/>
    <w:rsid w:val="00703933"/>
    <w:rsid w:val="007070AE"/>
    <w:rsid w:val="0071490B"/>
    <w:rsid w:val="00721112"/>
    <w:rsid w:val="0072413E"/>
    <w:rsid w:val="00726013"/>
    <w:rsid w:val="00734AA0"/>
    <w:rsid w:val="00735F18"/>
    <w:rsid w:val="00736F43"/>
    <w:rsid w:val="00740A5C"/>
    <w:rsid w:val="00746A85"/>
    <w:rsid w:val="00746B5A"/>
    <w:rsid w:val="00747130"/>
    <w:rsid w:val="00747E8D"/>
    <w:rsid w:val="007525D0"/>
    <w:rsid w:val="0075651C"/>
    <w:rsid w:val="00763B3B"/>
    <w:rsid w:val="007652F1"/>
    <w:rsid w:val="007707D6"/>
    <w:rsid w:val="00770E07"/>
    <w:rsid w:val="00772C1B"/>
    <w:rsid w:val="00775809"/>
    <w:rsid w:val="00781586"/>
    <w:rsid w:val="00783949"/>
    <w:rsid w:val="007957ED"/>
    <w:rsid w:val="007A4FF3"/>
    <w:rsid w:val="007B0B4D"/>
    <w:rsid w:val="007B17B5"/>
    <w:rsid w:val="007C0A89"/>
    <w:rsid w:val="007C52C2"/>
    <w:rsid w:val="007C62A8"/>
    <w:rsid w:val="007D1656"/>
    <w:rsid w:val="007D4D92"/>
    <w:rsid w:val="007D7DB0"/>
    <w:rsid w:val="007E09A5"/>
    <w:rsid w:val="007E0E90"/>
    <w:rsid w:val="007E3807"/>
    <w:rsid w:val="007E4FA9"/>
    <w:rsid w:val="007E746A"/>
    <w:rsid w:val="007F2F5A"/>
    <w:rsid w:val="007F44FC"/>
    <w:rsid w:val="00802ECC"/>
    <w:rsid w:val="008103A7"/>
    <w:rsid w:val="0082021D"/>
    <w:rsid w:val="00820697"/>
    <w:rsid w:val="00822F2C"/>
    <w:rsid w:val="0082628E"/>
    <w:rsid w:val="008266C7"/>
    <w:rsid w:val="008272DF"/>
    <w:rsid w:val="008274DC"/>
    <w:rsid w:val="00837494"/>
    <w:rsid w:val="0084207C"/>
    <w:rsid w:val="00842E95"/>
    <w:rsid w:val="00846CBF"/>
    <w:rsid w:val="008511AE"/>
    <w:rsid w:val="00851E0A"/>
    <w:rsid w:val="008559AF"/>
    <w:rsid w:val="00857066"/>
    <w:rsid w:val="00860DA0"/>
    <w:rsid w:val="00861C7D"/>
    <w:rsid w:val="00865885"/>
    <w:rsid w:val="00866A92"/>
    <w:rsid w:val="008702A7"/>
    <w:rsid w:val="00870C79"/>
    <w:rsid w:val="00874DD5"/>
    <w:rsid w:val="008762F5"/>
    <w:rsid w:val="008769C2"/>
    <w:rsid w:val="00877373"/>
    <w:rsid w:val="00880779"/>
    <w:rsid w:val="00880960"/>
    <w:rsid w:val="00885CE7"/>
    <w:rsid w:val="00886436"/>
    <w:rsid w:val="00887B26"/>
    <w:rsid w:val="00896706"/>
    <w:rsid w:val="008A390C"/>
    <w:rsid w:val="008A63F6"/>
    <w:rsid w:val="008A688A"/>
    <w:rsid w:val="008A6E39"/>
    <w:rsid w:val="008A7F6C"/>
    <w:rsid w:val="008B199D"/>
    <w:rsid w:val="008B3E14"/>
    <w:rsid w:val="008B447D"/>
    <w:rsid w:val="008B4730"/>
    <w:rsid w:val="008B5E7C"/>
    <w:rsid w:val="008B708E"/>
    <w:rsid w:val="008C1037"/>
    <w:rsid w:val="008C1C4D"/>
    <w:rsid w:val="008C2B4D"/>
    <w:rsid w:val="008C527D"/>
    <w:rsid w:val="008C72D8"/>
    <w:rsid w:val="008C74DC"/>
    <w:rsid w:val="008D000F"/>
    <w:rsid w:val="008D4207"/>
    <w:rsid w:val="008E4A20"/>
    <w:rsid w:val="008E5F2D"/>
    <w:rsid w:val="008E6EF9"/>
    <w:rsid w:val="008F2188"/>
    <w:rsid w:val="00901C25"/>
    <w:rsid w:val="00902805"/>
    <w:rsid w:val="00904432"/>
    <w:rsid w:val="00904F79"/>
    <w:rsid w:val="00905D18"/>
    <w:rsid w:val="009063E1"/>
    <w:rsid w:val="00906D9E"/>
    <w:rsid w:val="00907259"/>
    <w:rsid w:val="009129F2"/>
    <w:rsid w:val="009148D5"/>
    <w:rsid w:val="009154FD"/>
    <w:rsid w:val="0091663B"/>
    <w:rsid w:val="00916985"/>
    <w:rsid w:val="00916FA2"/>
    <w:rsid w:val="009210CB"/>
    <w:rsid w:val="0092161A"/>
    <w:rsid w:val="009235DD"/>
    <w:rsid w:val="00923BE2"/>
    <w:rsid w:val="00923F79"/>
    <w:rsid w:val="009240C8"/>
    <w:rsid w:val="00925A8E"/>
    <w:rsid w:val="0093387D"/>
    <w:rsid w:val="0093551F"/>
    <w:rsid w:val="00936EF2"/>
    <w:rsid w:val="00942498"/>
    <w:rsid w:val="00943FB6"/>
    <w:rsid w:val="00947D71"/>
    <w:rsid w:val="00957252"/>
    <w:rsid w:val="00957AA1"/>
    <w:rsid w:val="00965D18"/>
    <w:rsid w:val="009665F8"/>
    <w:rsid w:val="00967361"/>
    <w:rsid w:val="0097062C"/>
    <w:rsid w:val="00974B37"/>
    <w:rsid w:val="00977831"/>
    <w:rsid w:val="009779DD"/>
    <w:rsid w:val="009826A9"/>
    <w:rsid w:val="00985814"/>
    <w:rsid w:val="00990BE2"/>
    <w:rsid w:val="00992B8A"/>
    <w:rsid w:val="009931DB"/>
    <w:rsid w:val="00994CFB"/>
    <w:rsid w:val="00997B25"/>
    <w:rsid w:val="009A2F1C"/>
    <w:rsid w:val="009A3D18"/>
    <w:rsid w:val="009B0603"/>
    <w:rsid w:val="009B14E9"/>
    <w:rsid w:val="009B1FA8"/>
    <w:rsid w:val="009C0C06"/>
    <w:rsid w:val="009C1CD5"/>
    <w:rsid w:val="009C2F75"/>
    <w:rsid w:val="009C648C"/>
    <w:rsid w:val="009C7210"/>
    <w:rsid w:val="009C7EFC"/>
    <w:rsid w:val="009D2560"/>
    <w:rsid w:val="009D5764"/>
    <w:rsid w:val="009D711A"/>
    <w:rsid w:val="009E3B99"/>
    <w:rsid w:val="009E4A82"/>
    <w:rsid w:val="009E78DE"/>
    <w:rsid w:val="009F1345"/>
    <w:rsid w:val="009F1DC6"/>
    <w:rsid w:val="009F21C1"/>
    <w:rsid w:val="009F2C95"/>
    <w:rsid w:val="009F4344"/>
    <w:rsid w:val="009F4977"/>
    <w:rsid w:val="009F66D1"/>
    <w:rsid w:val="00A015DF"/>
    <w:rsid w:val="00A01EF4"/>
    <w:rsid w:val="00A02765"/>
    <w:rsid w:val="00A03374"/>
    <w:rsid w:val="00A04502"/>
    <w:rsid w:val="00A04C44"/>
    <w:rsid w:val="00A05BDD"/>
    <w:rsid w:val="00A10EF5"/>
    <w:rsid w:val="00A11CE4"/>
    <w:rsid w:val="00A126AF"/>
    <w:rsid w:val="00A13923"/>
    <w:rsid w:val="00A149CC"/>
    <w:rsid w:val="00A16A66"/>
    <w:rsid w:val="00A175B6"/>
    <w:rsid w:val="00A1771A"/>
    <w:rsid w:val="00A24202"/>
    <w:rsid w:val="00A2577A"/>
    <w:rsid w:val="00A25D1A"/>
    <w:rsid w:val="00A30328"/>
    <w:rsid w:val="00A345CF"/>
    <w:rsid w:val="00A46D82"/>
    <w:rsid w:val="00A477D5"/>
    <w:rsid w:val="00A50831"/>
    <w:rsid w:val="00A50FC8"/>
    <w:rsid w:val="00A51B82"/>
    <w:rsid w:val="00A54E8C"/>
    <w:rsid w:val="00A60469"/>
    <w:rsid w:val="00A64F86"/>
    <w:rsid w:val="00A702D7"/>
    <w:rsid w:val="00A70359"/>
    <w:rsid w:val="00A7076B"/>
    <w:rsid w:val="00A74207"/>
    <w:rsid w:val="00A747C8"/>
    <w:rsid w:val="00A74F15"/>
    <w:rsid w:val="00A76A8A"/>
    <w:rsid w:val="00A80F18"/>
    <w:rsid w:val="00A821F4"/>
    <w:rsid w:val="00A90BE4"/>
    <w:rsid w:val="00A91627"/>
    <w:rsid w:val="00AA03B8"/>
    <w:rsid w:val="00AA1D3F"/>
    <w:rsid w:val="00AA59B9"/>
    <w:rsid w:val="00AA64C9"/>
    <w:rsid w:val="00AA7CA4"/>
    <w:rsid w:val="00AB1CE0"/>
    <w:rsid w:val="00AB295D"/>
    <w:rsid w:val="00AB3574"/>
    <w:rsid w:val="00AB5816"/>
    <w:rsid w:val="00AB7B42"/>
    <w:rsid w:val="00AC0729"/>
    <w:rsid w:val="00AC14AC"/>
    <w:rsid w:val="00AD0226"/>
    <w:rsid w:val="00AD3072"/>
    <w:rsid w:val="00AD38AC"/>
    <w:rsid w:val="00AD3ED5"/>
    <w:rsid w:val="00AD7052"/>
    <w:rsid w:val="00AE17AE"/>
    <w:rsid w:val="00AE3F54"/>
    <w:rsid w:val="00AE4C49"/>
    <w:rsid w:val="00AE7643"/>
    <w:rsid w:val="00AE7866"/>
    <w:rsid w:val="00AE79F0"/>
    <w:rsid w:val="00AF1D5D"/>
    <w:rsid w:val="00AF5A97"/>
    <w:rsid w:val="00AF7C72"/>
    <w:rsid w:val="00B01DEB"/>
    <w:rsid w:val="00B14B39"/>
    <w:rsid w:val="00B150C5"/>
    <w:rsid w:val="00B15E76"/>
    <w:rsid w:val="00B2059F"/>
    <w:rsid w:val="00B20797"/>
    <w:rsid w:val="00B21231"/>
    <w:rsid w:val="00B2247E"/>
    <w:rsid w:val="00B2562C"/>
    <w:rsid w:val="00B26DC6"/>
    <w:rsid w:val="00B30846"/>
    <w:rsid w:val="00B31FF8"/>
    <w:rsid w:val="00B343F6"/>
    <w:rsid w:val="00B35337"/>
    <w:rsid w:val="00B35EAB"/>
    <w:rsid w:val="00B36B44"/>
    <w:rsid w:val="00B40044"/>
    <w:rsid w:val="00B439E5"/>
    <w:rsid w:val="00B461AF"/>
    <w:rsid w:val="00B5037E"/>
    <w:rsid w:val="00B525A7"/>
    <w:rsid w:val="00B54EBD"/>
    <w:rsid w:val="00B57234"/>
    <w:rsid w:val="00B636F2"/>
    <w:rsid w:val="00B65340"/>
    <w:rsid w:val="00B65DD3"/>
    <w:rsid w:val="00B70FE7"/>
    <w:rsid w:val="00B71848"/>
    <w:rsid w:val="00B731E9"/>
    <w:rsid w:val="00B740DC"/>
    <w:rsid w:val="00B76266"/>
    <w:rsid w:val="00B76412"/>
    <w:rsid w:val="00B771F3"/>
    <w:rsid w:val="00B85A45"/>
    <w:rsid w:val="00B8702E"/>
    <w:rsid w:val="00B9411B"/>
    <w:rsid w:val="00B94293"/>
    <w:rsid w:val="00BA236D"/>
    <w:rsid w:val="00BA44BE"/>
    <w:rsid w:val="00BA469A"/>
    <w:rsid w:val="00BA6B3E"/>
    <w:rsid w:val="00BA74FD"/>
    <w:rsid w:val="00BB1391"/>
    <w:rsid w:val="00BB30D1"/>
    <w:rsid w:val="00BB586A"/>
    <w:rsid w:val="00BC218E"/>
    <w:rsid w:val="00BC6A52"/>
    <w:rsid w:val="00BC7276"/>
    <w:rsid w:val="00BC7427"/>
    <w:rsid w:val="00BD0589"/>
    <w:rsid w:val="00BD0FC4"/>
    <w:rsid w:val="00BD2BE0"/>
    <w:rsid w:val="00BD6FE1"/>
    <w:rsid w:val="00BE64CA"/>
    <w:rsid w:val="00BF3AB3"/>
    <w:rsid w:val="00BF7E2A"/>
    <w:rsid w:val="00C01CB2"/>
    <w:rsid w:val="00C03070"/>
    <w:rsid w:val="00C03AF7"/>
    <w:rsid w:val="00C066A9"/>
    <w:rsid w:val="00C070FD"/>
    <w:rsid w:val="00C13388"/>
    <w:rsid w:val="00C216CB"/>
    <w:rsid w:val="00C23676"/>
    <w:rsid w:val="00C246A4"/>
    <w:rsid w:val="00C247C0"/>
    <w:rsid w:val="00C31A79"/>
    <w:rsid w:val="00C33281"/>
    <w:rsid w:val="00C340E9"/>
    <w:rsid w:val="00C35694"/>
    <w:rsid w:val="00C361A5"/>
    <w:rsid w:val="00C36707"/>
    <w:rsid w:val="00C36887"/>
    <w:rsid w:val="00C40FA9"/>
    <w:rsid w:val="00C41867"/>
    <w:rsid w:val="00C41A42"/>
    <w:rsid w:val="00C4780F"/>
    <w:rsid w:val="00C50FED"/>
    <w:rsid w:val="00C53E19"/>
    <w:rsid w:val="00C5459F"/>
    <w:rsid w:val="00C550A9"/>
    <w:rsid w:val="00C56A50"/>
    <w:rsid w:val="00C60E8D"/>
    <w:rsid w:val="00C610D0"/>
    <w:rsid w:val="00C62FEF"/>
    <w:rsid w:val="00C67AAB"/>
    <w:rsid w:val="00C7027E"/>
    <w:rsid w:val="00C70683"/>
    <w:rsid w:val="00C77F5D"/>
    <w:rsid w:val="00C82E36"/>
    <w:rsid w:val="00C82F2E"/>
    <w:rsid w:val="00C836DD"/>
    <w:rsid w:val="00C8509E"/>
    <w:rsid w:val="00C93EC8"/>
    <w:rsid w:val="00C94994"/>
    <w:rsid w:val="00C976FD"/>
    <w:rsid w:val="00C97E4C"/>
    <w:rsid w:val="00CA473E"/>
    <w:rsid w:val="00CA7F84"/>
    <w:rsid w:val="00CB2F44"/>
    <w:rsid w:val="00CB455E"/>
    <w:rsid w:val="00CB67E1"/>
    <w:rsid w:val="00CB7D6F"/>
    <w:rsid w:val="00CC2BE9"/>
    <w:rsid w:val="00CC571B"/>
    <w:rsid w:val="00CC6A2F"/>
    <w:rsid w:val="00CC7968"/>
    <w:rsid w:val="00CC7CF9"/>
    <w:rsid w:val="00CC7EE8"/>
    <w:rsid w:val="00CE2221"/>
    <w:rsid w:val="00CE2383"/>
    <w:rsid w:val="00CE2EF7"/>
    <w:rsid w:val="00CF175B"/>
    <w:rsid w:val="00CF186E"/>
    <w:rsid w:val="00CF5DFD"/>
    <w:rsid w:val="00CF62E4"/>
    <w:rsid w:val="00D02BA3"/>
    <w:rsid w:val="00D0381C"/>
    <w:rsid w:val="00D04300"/>
    <w:rsid w:val="00D05BE7"/>
    <w:rsid w:val="00D05CDD"/>
    <w:rsid w:val="00D1044D"/>
    <w:rsid w:val="00D11AD0"/>
    <w:rsid w:val="00D12F57"/>
    <w:rsid w:val="00D176A0"/>
    <w:rsid w:val="00D2214F"/>
    <w:rsid w:val="00D22317"/>
    <w:rsid w:val="00D231AB"/>
    <w:rsid w:val="00D23C55"/>
    <w:rsid w:val="00D258CF"/>
    <w:rsid w:val="00D3169F"/>
    <w:rsid w:val="00D348D2"/>
    <w:rsid w:val="00D34DCD"/>
    <w:rsid w:val="00D35CBB"/>
    <w:rsid w:val="00D37B59"/>
    <w:rsid w:val="00D41BFF"/>
    <w:rsid w:val="00D435F6"/>
    <w:rsid w:val="00D45264"/>
    <w:rsid w:val="00D476A0"/>
    <w:rsid w:val="00D52C08"/>
    <w:rsid w:val="00D600AB"/>
    <w:rsid w:val="00D63DAB"/>
    <w:rsid w:val="00D665EB"/>
    <w:rsid w:val="00D6742F"/>
    <w:rsid w:val="00D70576"/>
    <w:rsid w:val="00D7065E"/>
    <w:rsid w:val="00D707F4"/>
    <w:rsid w:val="00D72539"/>
    <w:rsid w:val="00D73F5C"/>
    <w:rsid w:val="00D74720"/>
    <w:rsid w:val="00D7719A"/>
    <w:rsid w:val="00D80A26"/>
    <w:rsid w:val="00D816ED"/>
    <w:rsid w:val="00D82050"/>
    <w:rsid w:val="00D8276C"/>
    <w:rsid w:val="00D83E77"/>
    <w:rsid w:val="00D86CBB"/>
    <w:rsid w:val="00D86D63"/>
    <w:rsid w:val="00D94DA1"/>
    <w:rsid w:val="00D9599D"/>
    <w:rsid w:val="00DA3E1D"/>
    <w:rsid w:val="00DA60CB"/>
    <w:rsid w:val="00DA6DF9"/>
    <w:rsid w:val="00DB068B"/>
    <w:rsid w:val="00DB37D9"/>
    <w:rsid w:val="00DB48F0"/>
    <w:rsid w:val="00DC0371"/>
    <w:rsid w:val="00DC3D98"/>
    <w:rsid w:val="00DC4C6A"/>
    <w:rsid w:val="00DD2153"/>
    <w:rsid w:val="00DD548A"/>
    <w:rsid w:val="00DD6DB0"/>
    <w:rsid w:val="00DD73AC"/>
    <w:rsid w:val="00DD7B6A"/>
    <w:rsid w:val="00DE3EFE"/>
    <w:rsid w:val="00DE6758"/>
    <w:rsid w:val="00DE6B58"/>
    <w:rsid w:val="00DF03E3"/>
    <w:rsid w:val="00DF0AA0"/>
    <w:rsid w:val="00DF1335"/>
    <w:rsid w:val="00DF13DE"/>
    <w:rsid w:val="00DF29B1"/>
    <w:rsid w:val="00DF6188"/>
    <w:rsid w:val="00DF7F3C"/>
    <w:rsid w:val="00E024A8"/>
    <w:rsid w:val="00E02E29"/>
    <w:rsid w:val="00E06990"/>
    <w:rsid w:val="00E07693"/>
    <w:rsid w:val="00E11676"/>
    <w:rsid w:val="00E17609"/>
    <w:rsid w:val="00E2393B"/>
    <w:rsid w:val="00E2536A"/>
    <w:rsid w:val="00E40256"/>
    <w:rsid w:val="00E4069A"/>
    <w:rsid w:val="00E438A8"/>
    <w:rsid w:val="00E52386"/>
    <w:rsid w:val="00E565BD"/>
    <w:rsid w:val="00E61168"/>
    <w:rsid w:val="00E63C29"/>
    <w:rsid w:val="00E646C2"/>
    <w:rsid w:val="00E6554D"/>
    <w:rsid w:val="00E67069"/>
    <w:rsid w:val="00E6766B"/>
    <w:rsid w:val="00E71616"/>
    <w:rsid w:val="00E72596"/>
    <w:rsid w:val="00E731E4"/>
    <w:rsid w:val="00E73B72"/>
    <w:rsid w:val="00E81239"/>
    <w:rsid w:val="00E82023"/>
    <w:rsid w:val="00E84BB4"/>
    <w:rsid w:val="00E85106"/>
    <w:rsid w:val="00E86A86"/>
    <w:rsid w:val="00E903A3"/>
    <w:rsid w:val="00E921E5"/>
    <w:rsid w:val="00E94312"/>
    <w:rsid w:val="00E9633D"/>
    <w:rsid w:val="00EA4F58"/>
    <w:rsid w:val="00EA58A5"/>
    <w:rsid w:val="00EA6746"/>
    <w:rsid w:val="00EB2057"/>
    <w:rsid w:val="00EB6B74"/>
    <w:rsid w:val="00EB7315"/>
    <w:rsid w:val="00EC0311"/>
    <w:rsid w:val="00EC7053"/>
    <w:rsid w:val="00EC7FB4"/>
    <w:rsid w:val="00ED506F"/>
    <w:rsid w:val="00ED7171"/>
    <w:rsid w:val="00EE1BDC"/>
    <w:rsid w:val="00EE2427"/>
    <w:rsid w:val="00EE3002"/>
    <w:rsid w:val="00EE6DB7"/>
    <w:rsid w:val="00EF006B"/>
    <w:rsid w:val="00EF4723"/>
    <w:rsid w:val="00EF4C6A"/>
    <w:rsid w:val="00EF7100"/>
    <w:rsid w:val="00F02A1D"/>
    <w:rsid w:val="00F07EF4"/>
    <w:rsid w:val="00F1020F"/>
    <w:rsid w:val="00F12143"/>
    <w:rsid w:val="00F15E7C"/>
    <w:rsid w:val="00F2205E"/>
    <w:rsid w:val="00F2648E"/>
    <w:rsid w:val="00F30CA2"/>
    <w:rsid w:val="00F31483"/>
    <w:rsid w:val="00F31F0A"/>
    <w:rsid w:val="00F34587"/>
    <w:rsid w:val="00F36B77"/>
    <w:rsid w:val="00F40876"/>
    <w:rsid w:val="00F44D88"/>
    <w:rsid w:val="00F45B10"/>
    <w:rsid w:val="00F46217"/>
    <w:rsid w:val="00F46A9C"/>
    <w:rsid w:val="00F46ED5"/>
    <w:rsid w:val="00F504CF"/>
    <w:rsid w:val="00F55AB3"/>
    <w:rsid w:val="00F56C93"/>
    <w:rsid w:val="00F56D9A"/>
    <w:rsid w:val="00F57027"/>
    <w:rsid w:val="00F66049"/>
    <w:rsid w:val="00F714BE"/>
    <w:rsid w:val="00F71682"/>
    <w:rsid w:val="00F72F88"/>
    <w:rsid w:val="00F81285"/>
    <w:rsid w:val="00F81C14"/>
    <w:rsid w:val="00F81C27"/>
    <w:rsid w:val="00F85BC4"/>
    <w:rsid w:val="00F9071B"/>
    <w:rsid w:val="00F91040"/>
    <w:rsid w:val="00F959B5"/>
    <w:rsid w:val="00FA56F6"/>
    <w:rsid w:val="00FB5345"/>
    <w:rsid w:val="00FB79F7"/>
    <w:rsid w:val="00FC355E"/>
    <w:rsid w:val="00FC5755"/>
    <w:rsid w:val="00FD18C1"/>
    <w:rsid w:val="00FD4B2A"/>
    <w:rsid w:val="00FE4A5A"/>
    <w:rsid w:val="00FE53AE"/>
    <w:rsid w:val="00FF3B3E"/>
    <w:rsid w:val="00FF4D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069"/>
    <w:pPr>
      <w:spacing w:after="120"/>
    </w:pPr>
    <w:rPr>
      <w:rFonts w:cs="Arial"/>
      <w:sz w:val="22"/>
      <w:szCs w:val="24"/>
      <w:lang w:eastAsia="en-US"/>
    </w:rPr>
  </w:style>
  <w:style w:type="paragraph" w:styleId="Heading1">
    <w:name w:val="heading 1"/>
    <w:basedOn w:val="Normal"/>
    <w:next w:val="Normal"/>
    <w:qFormat/>
    <w:rsid w:val="00901C25"/>
    <w:pPr>
      <w:pageBreakBefore/>
      <w:spacing w:after="240"/>
      <w:jc w:val="center"/>
      <w:outlineLvl w:val="0"/>
    </w:pPr>
    <w:rPr>
      <w:rFonts w:ascii="Arial" w:hAnsi="Arial"/>
      <w:b/>
      <w:sz w:val="36"/>
      <w:szCs w:val="32"/>
    </w:rPr>
  </w:style>
  <w:style w:type="paragraph" w:styleId="Heading2">
    <w:name w:val="heading 2"/>
    <w:aliases w:val="Char Char"/>
    <w:basedOn w:val="Normal"/>
    <w:next w:val="Normal"/>
    <w:link w:val="Heading2Char"/>
    <w:qFormat/>
    <w:rsid w:val="00E67069"/>
    <w:pPr>
      <w:keepNext/>
      <w:autoSpaceDE w:val="0"/>
      <w:autoSpaceDN w:val="0"/>
      <w:adjustRightInd w:val="0"/>
      <w:spacing w:before="120"/>
      <w:outlineLvl w:val="1"/>
    </w:pPr>
    <w:rPr>
      <w:rFonts w:ascii="CG Omega" w:hAnsi="CG Omega"/>
      <w:b/>
      <w:sz w:val="28"/>
      <w:szCs w:val="36"/>
    </w:rPr>
  </w:style>
  <w:style w:type="paragraph" w:styleId="Heading3">
    <w:name w:val="heading 3"/>
    <w:basedOn w:val="Normal"/>
    <w:next w:val="Normal"/>
    <w:qFormat/>
    <w:rsid w:val="00896706"/>
    <w:pPr>
      <w:keepNext/>
      <w:spacing w:before="240" w:after="60"/>
      <w:outlineLvl w:val="2"/>
    </w:pPr>
    <w:rPr>
      <w:rFonts w:ascii="Arial" w:hAnsi="Arial"/>
      <w:b/>
      <w:bCs/>
      <w:sz w:val="26"/>
      <w:szCs w:val="26"/>
    </w:rPr>
  </w:style>
  <w:style w:type="paragraph" w:styleId="Heading5">
    <w:name w:val="heading 5"/>
    <w:basedOn w:val="Heading"/>
    <w:next w:val="BodyText"/>
    <w:qFormat/>
    <w:rsid w:val="008F2188"/>
    <w:pPr>
      <w:tabs>
        <w:tab w:val="num" w:pos="0"/>
      </w:tabs>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Char"/>
    <w:basedOn w:val="DefaultParagraphFont"/>
    <w:link w:val="Heading2"/>
    <w:rsid w:val="00E67069"/>
    <w:rPr>
      <w:rFonts w:ascii="CG Omega" w:hAnsi="CG Omega" w:cs="Arial"/>
      <w:b/>
      <w:sz w:val="28"/>
      <w:szCs w:val="36"/>
      <w:lang w:val="en-CA" w:eastAsia="en-US" w:bidi="ar-SA"/>
    </w:rPr>
  </w:style>
  <w:style w:type="paragraph" w:customStyle="1" w:styleId="Heading">
    <w:name w:val="Heading"/>
    <w:basedOn w:val="Normal"/>
    <w:next w:val="BodyText"/>
    <w:rsid w:val="008F2188"/>
    <w:pPr>
      <w:keepNext/>
      <w:widowControl w:val="0"/>
      <w:suppressAutoHyphens/>
      <w:spacing w:before="240"/>
    </w:pPr>
    <w:rPr>
      <w:rFonts w:ascii="Arial" w:eastAsia="MS Mincho" w:hAnsi="Arial" w:cs="Tahoma"/>
      <w:kern w:val="1"/>
      <w:sz w:val="28"/>
      <w:szCs w:val="28"/>
      <w:lang w:val="en-US"/>
    </w:rPr>
  </w:style>
  <w:style w:type="paragraph" w:styleId="BodyText">
    <w:name w:val="Body Text"/>
    <w:basedOn w:val="Normal"/>
    <w:rsid w:val="008F2188"/>
    <w:pPr>
      <w:widowControl w:val="0"/>
      <w:suppressAutoHyphens/>
    </w:pPr>
    <w:rPr>
      <w:rFonts w:eastAsia="Arial Unicode MS" w:cs="Times New Roman"/>
      <w:kern w:val="1"/>
      <w:sz w:val="24"/>
      <w:lang w:val="en-US"/>
    </w:rPr>
  </w:style>
  <w:style w:type="paragraph" w:styleId="Header">
    <w:name w:val="header"/>
    <w:basedOn w:val="Normal"/>
    <w:rsid w:val="00604AA4"/>
    <w:pPr>
      <w:tabs>
        <w:tab w:val="center" w:pos="4320"/>
        <w:tab w:val="right" w:pos="8640"/>
      </w:tabs>
    </w:pPr>
  </w:style>
  <w:style w:type="paragraph" w:styleId="Footer">
    <w:name w:val="footer"/>
    <w:basedOn w:val="Normal"/>
    <w:link w:val="FooterChar"/>
    <w:uiPriority w:val="99"/>
    <w:rsid w:val="00604AA4"/>
    <w:pPr>
      <w:tabs>
        <w:tab w:val="center" w:pos="4320"/>
        <w:tab w:val="right" w:pos="8640"/>
      </w:tabs>
    </w:pPr>
  </w:style>
  <w:style w:type="character" w:styleId="PageNumber">
    <w:name w:val="page number"/>
    <w:basedOn w:val="DefaultParagraphFont"/>
    <w:rsid w:val="00604AA4"/>
  </w:style>
  <w:style w:type="character" w:styleId="Hyperlink">
    <w:name w:val="Hyperlink"/>
    <w:basedOn w:val="DefaultParagraphFont"/>
    <w:uiPriority w:val="99"/>
    <w:rsid w:val="001E061D"/>
    <w:rPr>
      <w:color w:val="0000FF"/>
      <w:u w:val="single"/>
    </w:rPr>
  </w:style>
  <w:style w:type="table" w:styleId="TableGrid">
    <w:name w:val="Table Grid"/>
    <w:basedOn w:val="TableNormal"/>
    <w:rsid w:val="001E061D"/>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1E061D"/>
    <w:rPr>
      <w:b/>
      <w:bCs/>
    </w:rPr>
  </w:style>
  <w:style w:type="paragraph" w:styleId="NormalWeb">
    <w:name w:val="Normal (Web)"/>
    <w:basedOn w:val="Normal"/>
    <w:uiPriority w:val="99"/>
    <w:rsid w:val="00901C25"/>
    <w:pPr>
      <w:spacing w:before="100" w:beforeAutospacing="1" w:after="100" w:afterAutospacing="1"/>
    </w:pPr>
    <w:rPr>
      <w:rFonts w:cs="Times New Roman"/>
      <w:sz w:val="24"/>
    </w:rPr>
  </w:style>
  <w:style w:type="paragraph" w:customStyle="1" w:styleId="MBSLSBNormal">
    <w:name w:val="MBSLSB Normal"/>
    <w:rsid w:val="00901C25"/>
    <w:pPr>
      <w:widowControl w:val="0"/>
      <w:jc w:val="both"/>
    </w:pPr>
    <w:rPr>
      <w:rFonts w:ascii="Arial" w:hAnsi="Arial"/>
      <w:sz w:val="24"/>
      <w:lang w:eastAsia="en-US"/>
    </w:rPr>
  </w:style>
  <w:style w:type="paragraph" w:customStyle="1" w:styleId="Default">
    <w:name w:val="Default"/>
    <w:rsid w:val="00901C25"/>
    <w:pPr>
      <w:autoSpaceDE w:val="0"/>
      <w:autoSpaceDN w:val="0"/>
      <w:adjustRightInd w:val="0"/>
    </w:pPr>
    <w:rPr>
      <w:rFonts w:ascii="Arial" w:hAnsi="Arial" w:cs="Arial"/>
      <w:color w:val="000000"/>
      <w:sz w:val="24"/>
      <w:szCs w:val="24"/>
      <w:lang w:val="en-US" w:eastAsia="en-US"/>
    </w:rPr>
  </w:style>
  <w:style w:type="paragraph" w:styleId="FootnoteText">
    <w:name w:val="footnote text"/>
    <w:aliases w:val=" Char"/>
    <w:basedOn w:val="Normal"/>
    <w:link w:val="FootnoteTextChar"/>
    <w:semiHidden/>
    <w:rsid w:val="00896706"/>
    <w:rPr>
      <w:sz w:val="20"/>
      <w:szCs w:val="20"/>
    </w:rPr>
  </w:style>
  <w:style w:type="character" w:styleId="FootnoteReference">
    <w:name w:val="footnote reference"/>
    <w:basedOn w:val="DefaultParagraphFont"/>
    <w:semiHidden/>
    <w:rsid w:val="00896706"/>
    <w:rPr>
      <w:vertAlign w:val="superscript"/>
    </w:rPr>
  </w:style>
  <w:style w:type="paragraph" w:styleId="ListParagraph">
    <w:name w:val="List Paragraph"/>
    <w:basedOn w:val="Normal"/>
    <w:uiPriority w:val="34"/>
    <w:qFormat/>
    <w:rsid w:val="00C4780F"/>
    <w:pPr>
      <w:spacing w:after="0" w:line="276" w:lineRule="auto"/>
      <w:ind w:left="720"/>
      <w:contextualSpacing/>
    </w:pPr>
    <w:rPr>
      <w:rFonts w:ascii="Calibri" w:eastAsia="Calibri" w:hAnsi="Calibri" w:cs="Times New Roman"/>
      <w:szCs w:val="22"/>
    </w:rPr>
  </w:style>
  <w:style w:type="character" w:customStyle="1" w:styleId="Absatz-Standardschriftart">
    <w:name w:val="Absatz-Standardschriftart"/>
    <w:rsid w:val="008F2188"/>
  </w:style>
  <w:style w:type="character" w:customStyle="1" w:styleId="WW-Absatz-Standardschriftart">
    <w:name w:val="WW-Absatz-Standardschriftart"/>
    <w:rsid w:val="008F2188"/>
  </w:style>
  <w:style w:type="character" w:customStyle="1" w:styleId="WW-Absatz-Standardschriftart1">
    <w:name w:val="WW-Absatz-Standardschriftart1"/>
    <w:rsid w:val="008F2188"/>
  </w:style>
  <w:style w:type="character" w:customStyle="1" w:styleId="WW-Absatz-Standardschriftart11">
    <w:name w:val="WW-Absatz-Standardschriftart11"/>
    <w:rsid w:val="008F2188"/>
  </w:style>
  <w:style w:type="character" w:customStyle="1" w:styleId="WW-Absatz-Standardschriftart111">
    <w:name w:val="WW-Absatz-Standardschriftart111"/>
    <w:rsid w:val="008F2188"/>
  </w:style>
  <w:style w:type="character" w:customStyle="1" w:styleId="WW-Absatz-Standardschriftart1111">
    <w:name w:val="WW-Absatz-Standardschriftart1111"/>
    <w:rsid w:val="008F2188"/>
  </w:style>
  <w:style w:type="character" w:customStyle="1" w:styleId="WW-Absatz-Standardschriftart11111">
    <w:name w:val="WW-Absatz-Standardschriftart11111"/>
    <w:rsid w:val="008F2188"/>
  </w:style>
  <w:style w:type="character" w:customStyle="1" w:styleId="WW-Absatz-Standardschriftart111111">
    <w:name w:val="WW-Absatz-Standardschriftart111111"/>
    <w:rsid w:val="008F2188"/>
  </w:style>
  <w:style w:type="character" w:customStyle="1" w:styleId="WW-Absatz-Standardschriftart1111111">
    <w:name w:val="WW-Absatz-Standardschriftart1111111"/>
    <w:rsid w:val="008F2188"/>
  </w:style>
  <w:style w:type="character" w:customStyle="1" w:styleId="WW-Absatz-Standardschriftart11111111">
    <w:name w:val="WW-Absatz-Standardschriftart11111111"/>
    <w:rsid w:val="008F2188"/>
  </w:style>
  <w:style w:type="character" w:customStyle="1" w:styleId="WW-Absatz-Standardschriftart111111111">
    <w:name w:val="WW-Absatz-Standardschriftart111111111"/>
    <w:rsid w:val="008F2188"/>
  </w:style>
  <w:style w:type="character" w:customStyle="1" w:styleId="WW-Absatz-Standardschriftart1111111111">
    <w:name w:val="WW-Absatz-Standardschriftart1111111111"/>
    <w:rsid w:val="008F2188"/>
  </w:style>
  <w:style w:type="character" w:customStyle="1" w:styleId="NumberingSymbols">
    <w:name w:val="Numbering Symbols"/>
    <w:rsid w:val="008F2188"/>
  </w:style>
  <w:style w:type="character" w:customStyle="1" w:styleId="FootnoteCharacters">
    <w:name w:val="Footnote Characters"/>
    <w:rsid w:val="008F2188"/>
  </w:style>
  <w:style w:type="character" w:customStyle="1" w:styleId="EndnoteCharacters">
    <w:name w:val="Endnote Characters"/>
    <w:rsid w:val="008F2188"/>
    <w:rPr>
      <w:vertAlign w:val="superscript"/>
    </w:rPr>
  </w:style>
  <w:style w:type="character" w:customStyle="1" w:styleId="WW-EndnoteCharacters">
    <w:name w:val="WW-Endnote Characters"/>
    <w:rsid w:val="008F2188"/>
  </w:style>
  <w:style w:type="character" w:styleId="EndnoteReference">
    <w:name w:val="endnote reference"/>
    <w:semiHidden/>
    <w:rsid w:val="008F2188"/>
    <w:rPr>
      <w:vertAlign w:val="superscript"/>
    </w:rPr>
  </w:style>
  <w:style w:type="paragraph" w:styleId="List">
    <w:name w:val="List"/>
    <w:basedOn w:val="BodyText"/>
    <w:rsid w:val="008F2188"/>
    <w:rPr>
      <w:rFonts w:cs="Tahoma"/>
    </w:rPr>
  </w:style>
  <w:style w:type="paragraph" w:styleId="Caption">
    <w:name w:val="caption"/>
    <w:basedOn w:val="Normal"/>
    <w:qFormat/>
    <w:rsid w:val="008F2188"/>
    <w:pPr>
      <w:widowControl w:val="0"/>
      <w:suppressLineNumbers/>
      <w:suppressAutoHyphens/>
      <w:spacing w:before="120"/>
    </w:pPr>
    <w:rPr>
      <w:rFonts w:eastAsia="Arial Unicode MS" w:cs="Tahoma"/>
      <w:i/>
      <w:iCs/>
      <w:kern w:val="1"/>
      <w:sz w:val="24"/>
      <w:lang w:val="en-US"/>
    </w:rPr>
  </w:style>
  <w:style w:type="paragraph" w:customStyle="1" w:styleId="Index">
    <w:name w:val="Index"/>
    <w:basedOn w:val="Normal"/>
    <w:rsid w:val="008F2188"/>
    <w:pPr>
      <w:widowControl w:val="0"/>
      <w:suppressLineNumbers/>
      <w:suppressAutoHyphens/>
      <w:spacing w:after="0"/>
    </w:pPr>
    <w:rPr>
      <w:rFonts w:eastAsia="Arial Unicode MS" w:cs="Tahoma"/>
      <w:kern w:val="1"/>
      <w:sz w:val="24"/>
      <w:lang w:val="en-US"/>
    </w:rPr>
  </w:style>
  <w:style w:type="paragraph" w:customStyle="1" w:styleId="TableContents">
    <w:name w:val="Table Contents"/>
    <w:basedOn w:val="Normal"/>
    <w:rsid w:val="008F2188"/>
    <w:pPr>
      <w:widowControl w:val="0"/>
      <w:suppressLineNumbers/>
      <w:suppressAutoHyphens/>
      <w:spacing w:after="0"/>
    </w:pPr>
    <w:rPr>
      <w:rFonts w:eastAsia="Arial Unicode MS" w:cs="Times New Roman"/>
      <w:kern w:val="1"/>
      <w:sz w:val="24"/>
      <w:lang w:val="en-US"/>
    </w:rPr>
  </w:style>
  <w:style w:type="paragraph" w:customStyle="1" w:styleId="TableHeading">
    <w:name w:val="Table Heading"/>
    <w:basedOn w:val="TableContents"/>
    <w:rsid w:val="008F2188"/>
    <w:pPr>
      <w:jc w:val="center"/>
    </w:pPr>
    <w:rPr>
      <w:b/>
      <w:bCs/>
    </w:rPr>
  </w:style>
  <w:style w:type="paragraph" w:customStyle="1" w:styleId="regularfont">
    <w:name w:val="regular_font"/>
    <w:basedOn w:val="Normal"/>
    <w:rsid w:val="00C97E4C"/>
    <w:pPr>
      <w:spacing w:before="100" w:beforeAutospacing="1" w:after="100" w:afterAutospacing="1"/>
    </w:pPr>
    <w:rPr>
      <w:rFonts w:ascii="Verdana" w:hAnsi="Verdana" w:cs="Times New Roman"/>
      <w:color w:val="000000"/>
      <w:sz w:val="17"/>
      <w:szCs w:val="17"/>
      <w:lang w:val="fr-CA" w:eastAsia="fr-CA"/>
    </w:rPr>
  </w:style>
  <w:style w:type="paragraph" w:customStyle="1" w:styleId="note">
    <w:name w:val="note"/>
    <w:basedOn w:val="Normal"/>
    <w:rsid w:val="00C97E4C"/>
    <w:pPr>
      <w:spacing w:before="100" w:beforeAutospacing="1" w:after="100" w:afterAutospacing="1"/>
    </w:pPr>
    <w:rPr>
      <w:rFonts w:cs="Times New Roman"/>
      <w:sz w:val="24"/>
      <w:lang w:val="fr-CA" w:eastAsia="fr-CA"/>
    </w:rPr>
  </w:style>
  <w:style w:type="paragraph" w:styleId="z-TopofForm">
    <w:name w:val="HTML Top of Form"/>
    <w:basedOn w:val="Normal"/>
    <w:next w:val="Normal"/>
    <w:hidden/>
    <w:unhideWhenUsed/>
    <w:rsid w:val="00C97E4C"/>
    <w:pPr>
      <w:pBdr>
        <w:bottom w:val="single" w:sz="6" w:space="1" w:color="auto"/>
      </w:pBdr>
      <w:spacing w:after="0"/>
      <w:jc w:val="center"/>
    </w:pPr>
    <w:rPr>
      <w:rFonts w:ascii="Arial" w:hAnsi="Arial"/>
      <w:vanish/>
      <w:color w:val="000000"/>
      <w:sz w:val="16"/>
      <w:szCs w:val="16"/>
      <w:lang w:eastAsia="en-CA"/>
    </w:rPr>
  </w:style>
  <w:style w:type="character" w:customStyle="1" w:styleId="langselect1">
    <w:name w:val="langselect1"/>
    <w:basedOn w:val="DefaultParagraphFont"/>
    <w:rsid w:val="00C97E4C"/>
  </w:style>
  <w:style w:type="character" w:customStyle="1" w:styleId="arrow1">
    <w:name w:val="arrow1"/>
    <w:basedOn w:val="DefaultParagraphFont"/>
    <w:rsid w:val="00C97E4C"/>
    <w:rPr>
      <w:position w:val="-1"/>
      <w:sz w:val="36"/>
      <w:szCs w:val="36"/>
    </w:rPr>
  </w:style>
  <w:style w:type="paragraph" w:styleId="z-BottomofForm">
    <w:name w:val="HTML Bottom of Form"/>
    <w:basedOn w:val="Normal"/>
    <w:next w:val="Normal"/>
    <w:hidden/>
    <w:unhideWhenUsed/>
    <w:rsid w:val="00C97E4C"/>
    <w:pPr>
      <w:pBdr>
        <w:top w:val="single" w:sz="6" w:space="1" w:color="auto"/>
      </w:pBdr>
      <w:spacing w:after="0"/>
      <w:jc w:val="center"/>
    </w:pPr>
    <w:rPr>
      <w:rFonts w:ascii="Arial" w:hAnsi="Arial"/>
      <w:vanish/>
      <w:color w:val="000000"/>
      <w:sz w:val="16"/>
      <w:szCs w:val="16"/>
      <w:lang w:eastAsia="en-CA"/>
    </w:rPr>
  </w:style>
  <w:style w:type="paragraph" w:styleId="TOC1">
    <w:name w:val="toc 1"/>
    <w:basedOn w:val="Normal"/>
    <w:next w:val="Normal"/>
    <w:autoRedefine/>
    <w:uiPriority w:val="39"/>
    <w:rsid w:val="00D82050"/>
  </w:style>
  <w:style w:type="paragraph" w:styleId="TOC2">
    <w:name w:val="toc 2"/>
    <w:basedOn w:val="Normal"/>
    <w:next w:val="Normal"/>
    <w:autoRedefine/>
    <w:uiPriority w:val="39"/>
    <w:rsid w:val="00D82050"/>
    <w:pPr>
      <w:ind w:left="220"/>
    </w:pPr>
  </w:style>
  <w:style w:type="paragraph" w:styleId="TOC3">
    <w:name w:val="toc 3"/>
    <w:basedOn w:val="Normal"/>
    <w:next w:val="Normal"/>
    <w:autoRedefine/>
    <w:uiPriority w:val="39"/>
    <w:rsid w:val="00D82050"/>
    <w:pPr>
      <w:ind w:left="440"/>
    </w:pPr>
  </w:style>
  <w:style w:type="paragraph" w:styleId="BalloonText">
    <w:name w:val="Balloon Text"/>
    <w:basedOn w:val="Normal"/>
    <w:link w:val="BalloonTextChar"/>
    <w:uiPriority w:val="99"/>
    <w:semiHidden/>
    <w:unhideWhenUsed/>
    <w:rsid w:val="003451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DD"/>
    <w:rPr>
      <w:rFonts w:ascii="Tahoma" w:hAnsi="Tahoma" w:cs="Tahoma"/>
      <w:sz w:val="16"/>
      <w:szCs w:val="16"/>
      <w:lang w:eastAsia="en-US"/>
    </w:rPr>
  </w:style>
  <w:style w:type="paragraph" w:customStyle="1" w:styleId="aa-subtitle">
    <w:name w:val="aa-subtitle"/>
    <w:basedOn w:val="Normal"/>
    <w:rsid w:val="00343A30"/>
    <w:pPr>
      <w:spacing w:before="100" w:beforeAutospacing="1" w:after="100" w:afterAutospacing="1"/>
    </w:pPr>
    <w:rPr>
      <w:rFonts w:ascii="Verdana" w:hAnsi="Verdana" w:cs="Times New Roman"/>
      <w:sz w:val="16"/>
      <w:szCs w:val="16"/>
      <w:lang w:val="en-US"/>
    </w:rPr>
  </w:style>
  <w:style w:type="character" w:styleId="CommentReference">
    <w:name w:val="annotation reference"/>
    <w:basedOn w:val="DefaultParagraphFont"/>
    <w:semiHidden/>
    <w:rsid w:val="00A30328"/>
    <w:rPr>
      <w:sz w:val="16"/>
      <w:szCs w:val="16"/>
    </w:rPr>
  </w:style>
  <w:style w:type="paragraph" w:styleId="CommentText">
    <w:name w:val="annotation text"/>
    <w:basedOn w:val="Normal"/>
    <w:link w:val="CommentTextChar"/>
    <w:semiHidden/>
    <w:rsid w:val="00A30328"/>
    <w:rPr>
      <w:sz w:val="20"/>
      <w:szCs w:val="20"/>
    </w:rPr>
  </w:style>
  <w:style w:type="character" w:customStyle="1" w:styleId="FootnoteTextChar">
    <w:name w:val="Footnote Text Char"/>
    <w:aliases w:val=" Char Char"/>
    <w:basedOn w:val="DefaultParagraphFont"/>
    <w:link w:val="FootnoteText"/>
    <w:semiHidden/>
    <w:rsid w:val="002428D3"/>
    <w:rPr>
      <w:rFonts w:cs="Arial"/>
      <w:lang w:eastAsia="en-US"/>
    </w:rPr>
  </w:style>
  <w:style w:type="character" w:customStyle="1" w:styleId="FooterChar">
    <w:name w:val="Footer Char"/>
    <w:basedOn w:val="DefaultParagraphFont"/>
    <w:link w:val="Footer"/>
    <w:uiPriority w:val="99"/>
    <w:rsid w:val="009E78DE"/>
    <w:rPr>
      <w:rFonts w:cs="Arial"/>
      <w:sz w:val="22"/>
      <w:szCs w:val="24"/>
      <w:lang w:eastAsia="en-US"/>
    </w:rPr>
  </w:style>
  <w:style w:type="paragraph" w:styleId="CommentSubject">
    <w:name w:val="annotation subject"/>
    <w:basedOn w:val="CommentText"/>
    <w:next w:val="CommentText"/>
    <w:link w:val="CommentSubjectChar"/>
    <w:uiPriority w:val="99"/>
    <w:semiHidden/>
    <w:unhideWhenUsed/>
    <w:rsid w:val="001D6B97"/>
    <w:rPr>
      <w:b/>
      <w:bCs/>
    </w:rPr>
  </w:style>
  <w:style w:type="character" w:customStyle="1" w:styleId="CommentTextChar">
    <w:name w:val="Comment Text Char"/>
    <w:basedOn w:val="DefaultParagraphFont"/>
    <w:link w:val="CommentText"/>
    <w:semiHidden/>
    <w:rsid w:val="001D6B97"/>
    <w:rPr>
      <w:rFonts w:cs="Arial"/>
      <w:lang w:val="en-CA"/>
    </w:rPr>
  </w:style>
  <w:style w:type="character" w:customStyle="1" w:styleId="CommentSubjectChar">
    <w:name w:val="Comment Subject Char"/>
    <w:basedOn w:val="CommentTextChar"/>
    <w:link w:val="CommentSubject"/>
    <w:rsid w:val="001D6B97"/>
  </w:style>
  <w:style w:type="character" w:styleId="HTMLCite">
    <w:name w:val="HTML Cite"/>
    <w:basedOn w:val="DefaultParagraphFont"/>
    <w:rsid w:val="001E7140"/>
    <w:rPr>
      <w:i/>
      <w:iCs/>
    </w:rPr>
  </w:style>
  <w:style w:type="paragraph" w:styleId="EndnoteText">
    <w:name w:val="endnote text"/>
    <w:basedOn w:val="Normal"/>
    <w:link w:val="EndnoteTextChar"/>
    <w:uiPriority w:val="99"/>
    <w:semiHidden/>
    <w:unhideWhenUsed/>
    <w:rsid w:val="00007BD1"/>
    <w:rPr>
      <w:sz w:val="20"/>
      <w:szCs w:val="20"/>
    </w:rPr>
  </w:style>
  <w:style w:type="character" w:customStyle="1" w:styleId="EndnoteTextChar">
    <w:name w:val="Endnote Text Char"/>
    <w:basedOn w:val="DefaultParagraphFont"/>
    <w:link w:val="EndnoteText"/>
    <w:uiPriority w:val="99"/>
    <w:semiHidden/>
    <w:rsid w:val="00007BD1"/>
    <w:rPr>
      <w:rFonts w:cs="Arial"/>
      <w:lang w:eastAsia="en-US"/>
    </w:rPr>
  </w:style>
  <w:style w:type="paragraph" w:customStyle="1" w:styleId="refs">
    <w:name w:val="refs"/>
    <w:basedOn w:val="BodyText"/>
    <w:rsid w:val="00355EF3"/>
    <w:pPr>
      <w:widowControl/>
      <w:suppressAutoHyphens w:val="0"/>
      <w:ind w:left="432" w:hanging="432"/>
    </w:pPr>
    <w:rPr>
      <w:rFonts w:eastAsia="Times New Roman"/>
      <w:noProof/>
      <w:kern w:val="0"/>
      <w:sz w:val="22"/>
      <w:szCs w:val="20"/>
      <w:lang w:val="de-DE"/>
    </w:rPr>
  </w:style>
</w:styles>
</file>

<file path=word/webSettings.xml><?xml version="1.0" encoding="utf-8"?>
<w:webSettings xmlns:r="http://schemas.openxmlformats.org/officeDocument/2006/relationships" xmlns:w="http://schemas.openxmlformats.org/wordprocessingml/2006/main">
  <w:divs>
    <w:div w:id="96754726">
      <w:bodyDiv w:val="1"/>
      <w:marLeft w:val="0"/>
      <w:marRight w:val="0"/>
      <w:marTop w:val="0"/>
      <w:marBottom w:val="0"/>
      <w:divBdr>
        <w:top w:val="none" w:sz="0" w:space="0" w:color="auto"/>
        <w:left w:val="none" w:sz="0" w:space="0" w:color="auto"/>
        <w:bottom w:val="none" w:sz="0" w:space="0" w:color="auto"/>
        <w:right w:val="none" w:sz="0" w:space="0" w:color="auto"/>
      </w:divBdr>
    </w:div>
    <w:div w:id="125785104">
      <w:bodyDiv w:val="1"/>
      <w:marLeft w:val="0"/>
      <w:marRight w:val="0"/>
      <w:marTop w:val="0"/>
      <w:marBottom w:val="0"/>
      <w:divBdr>
        <w:top w:val="none" w:sz="0" w:space="0" w:color="auto"/>
        <w:left w:val="none" w:sz="0" w:space="0" w:color="auto"/>
        <w:bottom w:val="none" w:sz="0" w:space="0" w:color="auto"/>
        <w:right w:val="none" w:sz="0" w:space="0" w:color="auto"/>
      </w:divBdr>
    </w:div>
    <w:div w:id="393049990">
      <w:bodyDiv w:val="1"/>
      <w:marLeft w:val="0"/>
      <w:marRight w:val="0"/>
      <w:marTop w:val="0"/>
      <w:marBottom w:val="0"/>
      <w:divBdr>
        <w:top w:val="none" w:sz="0" w:space="0" w:color="auto"/>
        <w:left w:val="none" w:sz="0" w:space="0" w:color="auto"/>
        <w:bottom w:val="none" w:sz="0" w:space="0" w:color="auto"/>
        <w:right w:val="none" w:sz="0" w:space="0" w:color="auto"/>
      </w:divBdr>
    </w:div>
    <w:div w:id="410006085">
      <w:bodyDiv w:val="1"/>
      <w:marLeft w:val="0"/>
      <w:marRight w:val="0"/>
      <w:marTop w:val="0"/>
      <w:marBottom w:val="0"/>
      <w:divBdr>
        <w:top w:val="none" w:sz="0" w:space="0" w:color="auto"/>
        <w:left w:val="none" w:sz="0" w:space="0" w:color="auto"/>
        <w:bottom w:val="none" w:sz="0" w:space="0" w:color="auto"/>
        <w:right w:val="none" w:sz="0" w:space="0" w:color="auto"/>
      </w:divBdr>
    </w:div>
    <w:div w:id="518084708">
      <w:bodyDiv w:val="1"/>
      <w:marLeft w:val="0"/>
      <w:marRight w:val="0"/>
      <w:marTop w:val="0"/>
      <w:marBottom w:val="0"/>
      <w:divBdr>
        <w:top w:val="none" w:sz="0" w:space="0" w:color="auto"/>
        <w:left w:val="none" w:sz="0" w:space="0" w:color="auto"/>
        <w:bottom w:val="none" w:sz="0" w:space="0" w:color="auto"/>
        <w:right w:val="none" w:sz="0" w:space="0" w:color="auto"/>
      </w:divBdr>
    </w:div>
    <w:div w:id="640961922">
      <w:bodyDiv w:val="1"/>
      <w:marLeft w:val="0"/>
      <w:marRight w:val="0"/>
      <w:marTop w:val="0"/>
      <w:marBottom w:val="0"/>
      <w:divBdr>
        <w:top w:val="none" w:sz="0" w:space="0" w:color="auto"/>
        <w:left w:val="none" w:sz="0" w:space="0" w:color="auto"/>
        <w:bottom w:val="none" w:sz="0" w:space="0" w:color="auto"/>
        <w:right w:val="none" w:sz="0" w:space="0" w:color="auto"/>
      </w:divBdr>
    </w:div>
    <w:div w:id="798034767">
      <w:bodyDiv w:val="1"/>
      <w:marLeft w:val="0"/>
      <w:marRight w:val="0"/>
      <w:marTop w:val="0"/>
      <w:marBottom w:val="0"/>
      <w:divBdr>
        <w:top w:val="none" w:sz="0" w:space="0" w:color="auto"/>
        <w:left w:val="none" w:sz="0" w:space="0" w:color="auto"/>
        <w:bottom w:val="none" w:sz="0" w:space="0" w:color="auto"/>
        <w:right w:val="none" w:sz="0" w:space="0" w:color="auto"/>
      </w:divBdr>
    </w:div>
    <w:div w:id="825515080">
      <w:bodyDiv w:val="1"/>
      <w:marLeft w:val="0"/>
      <w:marRight w:val="0"/>
      <w:marTop w:val="0"/>
      <w:marBottom w:val="0"/>
      <w:divBdr>
        <w:top w:val="none" w:sz="0" w:space="0" w:color="auto"/>
        <w:left w:val="none" w:sz="0" w:space="0" w:color="auto"/>
        <w:bottom w:val="none" w:sz="0" w:space="0" w:color="auto"/>
        <w:right w:val="none" w:sz="0" w:space="0" w:color="auto"/>
      </w:divBdr>
    </w:div>
    <w:div w:id="886381348">
      <w:bodyDiv w:val="1"/>
      <w:marLeft w:val="0"/>
      <w:marRight w:val="0"/>
      <w:marTop w:val="0"/>
      <w:marBottom w:val="0"/>
      <w:divBdr>
        <w:top w:val="none" w:sz="0" w:space="0" w:color="auto"/>
        <w:left w:val="none" w:sz="0" w:space="0" w:color="auto"/>
        <w:bottom w:val="none" w:sz="0" w:space="0" w:color="auto"/>
        <w:right w:val="none" w:sz="0" w:space="0" w:color="auto"/>
      </w:divBdr>
    </w:div>
    <w:div w:id="1041705373">
      <w:bodyDiv w:val="1"/>
      <w:marLeft w:val="0"/>
      <w:marRight w:val="0"/>
      <w:marTop w:val="0"/>
      <w:marBottom w:val="0"/>
      <w:divBdr>
        <w:top w:val="none" w:sz="0" w:space="0" w:color="auto"/>
        <w:left w:val="none" w:sz="0" w:space="0" w:color="auto"/>
        <w:bottom w:val="none" w:sz="0" w:space="0" w:color="auto"/>
        <w:right w:val="none" w:sz="0" w:space="0" w:color="auto"/>
      </w:divBdr>
    </w:div>
    <w:div w:id="1119835140">
      <w:bodyDiv w:val="1"/>
      <w:marLeft w:val="0"/>
      <w:marRight w:val="0"/>
      <w:marTop w:val="0"/>
      <w:marBottom w:val="0"/>
      <w:divBdr>
        <w:top w:val="none" w:sz="0" w:space="0" w:color="auto"/>
        <w:left w:val="none" w:sz="0" w:space="0" w:color="auto"/>
        <w:bottom w:val="none" w:sz="0" w:space="0" w:color="auto"/>
        <w:right w:val="none" w:sz="0" w:space="0" w:color="auto"/>
      </w:divBdr>
    </w:div>
    <w:div w:id="1134374211">
      <w:bodyDiv w:val="1"/>
      <w:marLeft w:val="0"/>
      <w:marRight w:val="0"/>
      <w:marTop w:val="0"/>
      <w:marBottom w:val="0"/>
      <w:divBdr>
        <w:top w:val="none" w:sz="0" w:space="0" w:color="auto"/>
        <w:left w:val="none" w:sz="0" w:space="0" w:color="auto"/>
        <w:bottom w:val="none" w:sz="0" w:space="0" w:color="auto"/>
        <w:right w:val="none" w:sz="0" w:space="0" w:color="auto"/>
      </w:divBdr>
    </w:div>
    <w:div w:id="1140002009">
      <w:bodyDiv w:val="1"/>
      <w:marLeft w:val="0"/>
      <w:marRight w:val="0"/>
      <w:marTop w:val="0"/>
      <w:marBottom w:val="0"/>
      <w:divBdr>
        <w:top w:val="none" w:sz="0" w:space="0" w:color="auto"/>
        <w:left w:val="none" w:sz="0" w:space="0" w:color="auto"/>
        <w:bottom w:val="none" w:sz="0" w:space="0" w:color="auto"/>
        <w:right w:val="none" w:sz="0" w:space="0" w:color="auto"/>
      </w:divBdr>
    </w:div>
    <w:div w:id="1246188765">
      <w:bodyDiv w:val="1"/>
      <w:marLeft w:val="0"/>
      <w:marRight w:val="0"/>
      <w:marTop w:val="0"/>
      <w:marBottom w:val="0"/>
      <w:divBdr>
        <w:top w:val="none" w:sz="0" w:space="0" w:color="auto"/>
        <w:left w:val="none" w:sz="0" w:space="0" w:color="auto"/>
        <w:bottom w:val="none" w:sz="0" w:space="0" w:color="auto"/>
        <w:right w:val="none" w:sz="0" w:space="0" w:color="auto"/>
      </w:divBdr>
    </w:div>
    <w:div w:id="1374572113">
      <w:bodyDiv w:val="1"/>
      <w:marLeft w:val="0"/>
      <w:marRight w:val="0"/>
      <w:marTop w:val="0"/>
      <w:marBottom w:val="0"/>
      <w:divBdr>
        <w:top w:val="none" w:sz="0" w:space="0" w:color="auto"/>
        <w:left w:val="none" w:sz="0" w:space="0" w:color="auto"/>
        <w:bottom w:val="none" w:sz="0" w:space="0" w:color="auto"/>
        <w:right w:val="none" w:sz="0" w:space="0" w:color="auto"/>
      </w:divBdr>
    </w:div>
    <w:div w:id="20520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www.ontario.ca/ontprodconsume/groups/content/@gopsp/@initiative/documents/document/ont06_018899.pdf.%20accessed%208/7/2009" TargetMode="External"/><Relationship Id="rId2" Type="http://schemas.openxmlformats.org/officeDocument/2006/relationships/numbering" Target="numbering.xml"/><Relationship Id="rId16" Type="http://schemas.openxmlformats.org/officeDocument/2006/relationships/hyperlink" Target="http://epicpolicy.org/publication/preschool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93BD-8DFA-4697-8BD4-B02391E2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12353</Words>
  <Characters>70416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82604</CharactersWithSpaces>
  <SharedDoc>false</SharedDoc>
  <HLinks>
    <vt:vector size="84" baseType="variant">
      <vt:variant>
        <vt:i4>1507366</vt:i4>
      </vt:variant>
      <vt:variant>
        <vt:i4>81</vt:i4>
      </vt:variant>
      <vt:variant>
        <vt:i4>0</vt:i4>
      </vt:variant>
      <vt:variant>
        <vt:i4>5</vt:i4>
      </vt:variant>
      <vt:variant>
        <vt:lpwstr>http://www.ontario.ca/ontprodconsume/groups/content/@gopsp/@initiative/documents/document/ont06_018899.pdf. accessed 8/7/2009</vt:lpwstr>
      </vt:variant>
      <vt:variant>
        <vt:lpwstr/>
      </vt:variant>
      <vt:variant>
        <vt:i4>1376281</vt:i4>
      </vt:variant>
      <vt:variant>
        <vt:i4>78</vt:i4>
      </vt:variant>
      <vt:variant>
        <vt:i4>0</vt:i4>
      </vt:variant>
      <vt:variant>
        <vt:i4>5</vt:i4>
      </vt:variant>
      <vt:variant>
        <vt:lpwstr>http://epicpolicy.org/publication/preschooleducation</vt:lpwstr>
      </vt:variant>
      <vt:variant>
        <vt:lpwstr/>
      </vt:variant>
      <vt:variant>
        <vt:i4>1572919</vt:i4>
      </vt:variant>
      <vt:variant>
        <vt:i4>68</vt:i4>
      </vt:variant>
      <vt:variant>
        <vt:i4>0</vt:i4>
      </vt:variant>
      <vt:variant>
        <vt:i4>5</vt:i4>
      </vt:variant>
      <vt:variant>
        <vt:lpwstr/>
      </vt:variant>
      <vt:variant>
        <vt:lpwstr>_Toc283303674</vt:lpwstr>
      </vt:variant>
      <vt:variant>
        <vt:i4>1572919</vt:i4>
      </vt:variant>
      <vt:variant>
        <vt:i4>62</vt:i4>
      </vt:variant>
      <vt:variant>
        <vt:i4>0</vt:i4>
      </vt:variant>
      <vt:variant>
        <vt:i4>5</vt:i4>
      </vt:variant>
      <vt:variant>
        <vt:lpwstr/>
      </vt:variant>
      <vt:variant>
        <vt:lpwstr>_Toc283303673</vt:lpwstr>
      </vt:variant>
      <vt:variant>
        <vt:i4>1572919</vt:i4>
      </vt:variant>
      <vt:variant>
        <vt:i4>56</vt:i4>
      </vt:variant>
      <vt:variant>
        <vt:i4>0</vt:i4>
      </vt:variant>
      <vt:variant>
        <vt:i4>5</vt:i4>
      </vt:variant>
      <vt:variant>
        <vt:lpwstr/>
      </vt:variant>
      <vt:variant>
        <vt:lpwstr>_Toc283303672</vt:lpwstr>
      </vt:variant>
      <vt:variant>
        <vt:i4>1572919</vt:i4>
      </vt:variant>
      <vt:variant>
        <vt:i4>50</vt:i4>
      </vt:variant>
      <vt:variant>
        <vt:i4>0</vt:i4>
      </vt:variant>
      <vt:variant>
        <vt:i4>5</vt:i4>
      </vt:variant>
      <vt:variant>
        <vt:lpwstr/>
      </vt:variant>
      <vt:variant>
        <vt:lpwstr>_Toc283303671</vt:lpwstr>
      </vt:variant>
      <vt:variant>
        <vt:i4>1572919</vt:i4>
      </vt:variant>
      <vt:variant>
        <vt:i4>44</vt:i4>
      </vt:variant>
      <vt:variant>
        <vt:i4>0</vt:i4>
      </vt:variant>
      <vt:variant>
        <vt:i4>5</vt:i4>
      </vt:variant>
      <vt:variant>
        <vt:lpwstr/>
      </vt:variant>
      <vt:variant>
        <vt:lpwstr>_Toc283303670</vt:lpwstr>
      </vt:variant>
      <vt:variant>
        <vt:i4>1638455</vt:i4>
      </vt:variant>
      <vt:variant>
        <vt:i4>38</vt:i4>
      </vt:variant>
      <vt:variant>
        <vt:i4>0</vt:i4>
      </vt:variant>
      <vt:variant>
        <vt:i4>5</vt:i4>
      </vt:variant>
      <vt:variant>
        <vt:lpwstr/>
      </vt:variant>
      <vt:variant>
        <vt:lpwstr>_Toc283303669</vt:lpwstr>
      </vt:variant>
      <vt:variant>
        <vt:i4>1638455</vt:i4>
      </vt:variant>
      <vt:variant>
        <vt:i4>32</vt:i4>
      </vt:variant>
      <vt:variant>
        <vt:i4>0</vt:i4>
      </vt:variant>
      <vt:variant>
        <vt:i4>5</vt:i4>
      </vt:variant>
      <vt:variant>
        <vt:lpwstr/>
      </vt:variant>
      <vt:variant>
        <vt:lpwstr>_Toc283303668</vt:lpwstr>
      </vt:variant>
      <vt:variant>
        <vt:i4>1638455</vt:i4>
      </vt:variant>
      <vt:variant>
        <vt:i4>26</vt:i4>
      </vt:variant>
      <vt:variant>
        <vt:i4>0</vt:i4>
      </vt:variant>
      <vt:variant>
        <vt:i4>5</vt:i4>
      </vt:variant>
      <vt:variant>
        <vt:lpwstr/>
      </vt:variant>
      <vt:variant>
        <vt:lpwstr>_Toc283303667</vt:lpwstr>
      </vt:variant>
      <vt:variant>
        <vt:i4>1638455</vt:i4>
      </vt:variant>
      <vt:variant>
        <vt:i4>20</vt:i4>
      </vt:variant>
      <vt:variant>
        <vt:i4>0</vt:i4>
      </vt:variant>
      <vt:variant>
        <vt:i4>5</vt:i4>
      </vt:variant>
      <vt:variant>
        <vt:lpwstr/>
      </vt:variant>
      <vt:variant>
        <vt:lpwstr>_Toc283303666</vt:lpwstr>
      </vt:variant>
      <vt:variant>
        <vt:i4>1638455</vt:i4>
      </vt:variant>
      <vt:variant>
        <vt:i4>14</vt:i4>
      </vt:variant>
      <vt:variant>
        <vt:i4>0</vt:i4>
      </vt:variant>
      <vt:variant>
        <vt:i4>5</vt:i4>
      </vt:variant>
      <vt:variant>
        <vt:lpwstr/>
      </vt:variant>
      <vt:variant>
        <vt:lpwstr>_Toc283303665</vt:lpwstr>
      </vt:variant>
      <vt:variant>
        <vt:i4>1638455</vt:i4>
      </vt:variant>
      <vt:variant>
        <vt:i4>8</vt:i4>
      </vt:variant>
      <vt:variant>
        <vt:i4>0</vt:i4>
      </vt:variant>
      <vt:variant>
        <vt:i4>5</vt:i4>
      </vt:variant>
      <vt:variant>
        <vt:lpwstr/>
      </vt:variant>
      <vt:variant>
        <vt:lpwstr>_Toc283303664</vt:lpwstr>
      </vt:variant>
      <vt:variant>
        <vt:i4>1638455</vt:i4>
      </vt:variant>
      <vt:variant>
        <vt:i4>2</vt:i4>
      </vt:variant>
      <vt:variant>
        <vt:i4>0</vt:i4>
      </vt:variant>
      <vt:variant>
        <vt:i4>5</vt:i4>
      </vt:variant>
      <vt:variant>
        <vt:lpwstr/>
      </vt:variant>
      <vt:variant>
        <vt:lpwstr>_Toc283303663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Robert Fairholm</dc:creator>
  <cp:keywords/>
  <cp:lastModifiedBy>mount</cp:lastModifiedBy>
  <cp:revision>2</cp:revision>
  <cp:lastPrinted>2010-11-04T15:43:00Z</cp:lastPrinted>
  <dcterms:created xsi:type="dcterms:W3CDTF">2011-12-16T13:16:00Z</dcterms:created>
  <dcterms:modified xsi:type="dcterms:W3CDTF">2011-12-16T13:16:00Z</dcterms:modified>
</cp:coreProperties>
</file>