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139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1590675" cy="638175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Times New Roman" w:eastAsia="Times New Roman" w:hAnsi="Times New Roman" w:cs="Times New Roman"/>
          <w:sz w:val="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710.0" w:lineRule="exact"/>
        <w:rPr>
          <w:rFonts w:ascii="Arial" w:eastAsia="Arial" w:hAnsi="Arial" w:cs="Arial"/>
          <w:sz w:val="56.0"/>
        </w:rPr>
        <w:widowControl w:val="1"/>
        <w:ind w:left="3113"/>
      </w:pP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CUPE</w:t>
      </w:r>
      <w:r w:rsidR="00000000" w:rsidDel="00000000" w:rsidRPr="00000000">
        <w:rPr>
          <w:b w:val="true"/>
          <w:rFonts w:ascii="Arial" w:eastAsia="Arial" w:hAnsi="Arial" w:cs="Arial"/>
          <w:spacing w:val="-28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Nova</w:t>
      </w:r>
      <w:r w:rsidR="00000000" w:rsidDel="00000000" w:rsidRPr="00000000">
        <w:rPr>
          <w:b w:val="true"/>
          <w:rFonts w:ascii="Arial" w:eastAsia="Arial" w:hAnsi="Arial" w:cs="Arial"/>
          <w:spacing w:val="-27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1"/>
          <w:sz w:val="56.0"/>
        </w:rPr>
        <w:t xml:space="preserve">Scotia</w:t>
      </w: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b w:val="true"/>
          <w:rFonts w:ascii="Arial" w:eastAsia="Arial" w:hAnsi="Arial" w:cs="Arial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Arial" w:eastAsia="Arial" w:hAnsi="Arial" w:cs="Arial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32.0"/>
        </w:rPr>
        <w:widowControl w:val="1"/>
        <w:ind w:left="3405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Appeals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to</w:t>
      </w:r>
      <w:r w:rsidR="00000000" w:rsidDel="00000000" w:rsidRPr="00000000">
        <w:rPr>
          <w:b w:val="true"/>
          <w:rFonts w:ascii="Calibri" w:eastAsia="Calibri" w:hAnsi="Calibri" w:cs="Calibri"/>
          <w:spacing w:val="-9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CUPE</w:t>
      </w:r>
      <w:r w:rsidR="00000000" w:rsidDel="00000000" w:rsidRPr="00000000">
        <w:rPr>
          <w:b w:val="true"/>
          <w:rFonts w:ascii="Calibri" w:eastAsia="Calibri" w:hAnsi="Calibri" w:cs="Calibri"/>
          <w:spacing w:val="-9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Nova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Scotia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Policy</w:t>
      </w: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b w:val="true"/>
          <w:rFonts w:ascii="Calibri" w:eastAsia="Calibri" w:hAnsi="Calibri" w:cs="Calibri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PURPOSE</w:t>
      </w:r>
      <w:r w:rsidR="00000000" w:rsidDel="00000000" w:rsidRPr="00000000">
        <w:rPr>
          <w:spacing w:val="-1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provide</w:t>
      </w:r>
      <w:r w:rsidR="00000000" w:rsidDel="00000000" w:rsidRPr="00000000">
        <w:rPr/>
        <w:t xml:space="preserve"> a </w:t>
      </w:r>
      <w:r w:rsidR="00000000" w:rsidDel="00000000" w:rsidRPr="00000000">
        <w:rPr>
          <w:spacing w:val="-1"/>
        </w:rPr>
        <w:t xml:space="preserve">process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consider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financial appeals </w:t>
      </w:r>
      <w:r w:rsidR="00000000" w:rsidDel="00000000" w:rsidRPr="00000000">
        <w:rPr>
          <w:spacing w:val="-2"/>
        </w:rPr>
        <w:t xml:space="preserve">from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locals</w:t>
      </w:r>
      <w:r w:rsidR="00000000" w:rsidDel="00000000" w:rsidRPr="00000000">
        <w:rPr/>
        <w:t xml:space="preserve"> and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other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unions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organizations.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Calibri" w:eastAsia="Calibri" w:hAnsi="Calibri" w:cs="Calibri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90"/>
      </w:pPr>
      <w:r w:rsidR="00000000" w:rsidDel="00000000" w:rsidRPr="00000000">
        <w:rPr>
          <w:spacing w:val="-2"/>
          <w:u w:val="single"/>
        </w:rPr>
        <w:t xml:space="preserve">CONSIDERATIONS: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/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show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solidarity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financial support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where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possible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those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need.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3.0000114440918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318"/>
      </w:pP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has</w:t>
      </w:r>
      <w:r w:rsidR="00000000" w:rsidDel="00000000" w:rsidRPr="00000000">
        <w:rPr/>
        <w:t xml:space="preserve"> a </w:t>
      </w:r>
      <w:r w:rsidR="00000000" w:rsidDel="00000000" w:rsidRPr="00000000">
        <w:rPr>
          <w:spacing w:val="-1"/>
        </w:rPr>
        <w:t xml:space="preserve">focus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1"/>
        </w:rPr>
        <w:t xml:space="preserve"> raise</w:t>
      </w:r>
      <w:r w:rsidR="00000000" w:rsidDel="00000000" w:rsidRPr="00000000">
        <w:rPr/>
        <w:t xml:space="preserve"> our </w:t>
      </w:r>
      <w:r w:rsidR="00000000" w:rsidDel="00000000" w:rsidRPr="00000000">
        <w:rPr>
          <w:spacing w:val="-1"/>
        </w:rPr>
        <w:t xml:space="preserve">profile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in </w:t>
      </w:r>
      <w:r w:rsidR="00000000" w:rsidDel="00000000" w:rsidRPr="00000000">
        <w:rPr>
          <w:spacing w:val="-1"/>
        </w:rPr>
        <w:t xml:space="preserve">our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communities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 participating </w:t>
      </w:r>
      <w:r w:rsidR="00000000" w:rsidDel="00000000" w:rsidRPr="00000000">
        <w:rPr/>
        <w:t xml:space="preserve">in </w:t>
      </w:r>
      <w:r w:rsidR="00000000" w:rsidDel="00000000" w:rsidRPr="00000000">
        <w:rPr>
          <w:spacing w:val="-1"/>
        </w:rPr>
        <w:t xml:space="preserve">initiatives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outside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our </w:t>
      </w:r>
      <w:r w:rsidR="00000000" w:rsidDel="00000000" w:rsidRPr="00000000">
        <w:rPr>
          <w:spacing w:val="-1"/>
        </w:rPr>
        <w:t xml:space="preserve">Union</w:t>
      </w:r>
      <w:r w:rsidR="00000000" w:rsidDel="00000000" w:rsidRPr="00000000">
        <w:rPr>
          <w:spacing w:val="65"/>
        </w:rPr>
        <w:t xml:space="preserve">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promote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presence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our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members.</w: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PROCEDURES: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61" w:hanging="360"/>
      </w:pP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appeals will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brought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in</w:t>
      </w:r>
      <w:r w:rsidR="00000000" w:rsidDel="00000000" w:rsidRPr="00000000">
        <w:rPr>
          <w:spacing w:val="-1"/>
        </w:rPr>
        <w:t xml:space="preserve"> 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form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motion. </w:t>
      </w:r>
      <w:r w:rsidR="00000000" w:rsidDel="00000000" w:rsidRPr="00000000">
        <w:rPr>
          <w:vertAlign w:val="baseline"/>
        </w:rPr>
        <w:t xml:space="preserve">If a member appeal comes through during the months of November December, the appeal will be reviewed again in January.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budget ($10,000 per annum)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must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considered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debate. 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/>
        <w:t xml:space="preserve">When</w:t>
      </w:r>
      <w:r w:rsidR="00000000" w:rsidDel="00000000" w:rsidRPr="00000000">
        <w:rPr>
          <w:spacing w:val="-1"/>
        </w:rPr>
        <w:t xml:space="preserve"> 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budget</w:t>
      </w:r>
      <w:r w:rsidR="00000000" w:rsidDel="00000000" w:rsidRPr="00000000">
        <w:rPr/>
        <w:t xml:space="preserve"> cap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reached, no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further</w:t>
      </w:r>
      <w:r w:rsidR="00000000" w:rsidDel="00000000" w:rsidRPr="00000000">
        <w:rPr>
          <w:spacing w:val="-1"/>
        </w:rPr>
        <w:t xml:space="preserve"> appeals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may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considered.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432"/>
      </w:pPr>
      <w:r w:rsidR="00000000" w:rsidDel="00000000" w:rsidRPr="00000000">
        <w:rPr>
          <w:spacing w:val="-1"/>
        </w:rPr>
        <w:t xml:space="preserve">Appeals will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forwarded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Locals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affiliated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with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as </w:t>
      </w:r>
      <w:r w:rsidR="00000000" w:rsidDel="00000000" w:rsidRPr="00000000">
        <w:rPr>
          <w:spacing w:val="-1"/>
        </w:rPr>
        <w:t xml:space="preserve">received. Respecting autonomy,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appeal</w:t>
      </w:r>
      <w:r w:rsidR="00000000" w:rsidDel="00000000" w:rsidRPr="00000000">
        <w:rPr>
          <w:spacing w:val="99"/>
        </w:rPr>
        <w:t xml:space="preserve">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sent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with </w:t>
      </w:r>
      <w:r w:rsidR="00000000" w:rsidDel="00000000" w:rsidRPr="00000000">
        <w:rPr>
          <w:spacing w:val="-1"/>
        </w:rPr>
        <w:t xml:space="preserve">no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recommendations.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Appeals from members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come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through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their </w:t>
      </w:r>
      <w:r w:rsidR="00000000" w:rsidDel="00000000" w:rsidRPr="00000000">
        <w:rPr>
          <w:spacing w:val="-1"/>
        </w:rPr>
        <w:t xml:space="preserve">Local.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widowControl w:val="1"/>
        <w:ind w:left="360" w:hanging="0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widowControl w:val="1"/>
        <w:ind w:left="360" w:hanging="0"/>
      </w:pPr>
    </w:p>
    <w:p xmlns:w14="http://schemas.microsoft.com/office/word/2010/wordml" w:rsidR="00000000" w:rsidRDefault="00000000" w14:textId="00000000" w:rsidDel="00000000" w:rsidP="00000000" w:rsidRPr="00000000">
      <w:pPr>
        <w:spacing w:before="8.0"/>
        <w:rPr>
          <w:rFonts w:ascii="Calibri" w:eastAsia="Calibri" w:hAnsi="Calibri" w:cs="Calibri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ACCOUNTABILITY: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15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process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sharing appeals with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Locals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made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available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anyone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submitting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appeal.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15"/>
      </w:pPr>
      <w:r w:rsidR="00000000" w:rsidDel="00000000" w:rsidRPr="00000000">
        <w:rPr/>
        <w:t xml:space="preserve">Not all</w:t>
      </w:r>
      <w:r w:rsidR="00000000" w:rsidDel="00000000" w:rsidRPr="00000000">
        <w:rPr>
          <w:spacing w:val="-1"/>
        </w:rPr>
        <w:t xml:space="preserve"> appeals</w:t>
      </w:r>
      <w:r w:rsidR="00000000" w:rsidDel="00000000" w:rsidRPr="00000000">
        <w:rPr/>
        <w:t xml:space="preserve"> will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supported.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Decisions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are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sole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responsibility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Executive.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widowControl w:val="1"/>
        <w:ind w:left="315" w:hanging="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Calibri" w:eastAsia="Calibri" w:hAnsi="Calibri" w:cs="Calibri"/>
          <w:sz w:val="1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  <w:ind w:left="139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Approved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by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CUPE</w:t>
      </w:r>
      <w:r w:rsidR="00000000" w:rsidDel="00000000" w:rsidRPr="00000000">
        <w:rPr>
          <w:b w:val="true"/>
          <w:rFonts w:ascii="Calibri" w:eastAsia="Calibri" w:hAnsi="Calibri" w:cs="Calibri"/>
          <w:spacing w:val="-7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Nova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Scotia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Executive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–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February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11,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2017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  <w:ind w:left="139"/>
      </w:pP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Reviewed by CUPE Nova Scotia Executive – February 11, 2026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55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b w:val="true"/>
          <w:rFonts w:ascii="Calibri" w:eastAsia="Calibri" w:hAnsi="Calibri" w:cs="Calibri"/>
          <w:sz w:val="1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3.0"/>
        <w:rPr>
          <w:rFonts w:ascii="Calibri" w:eastAsia="Calibri" w:hAnsi="Calibri" w:cs="Calibri"/>
          <w:sz w:val="18.0"/>
        </w:rPr>
        <w:tabs>
          <w:tab w:pos="2432" w:val="left" w:leader="none"/>
          <w:tab w:pos="5336" w:val="left" w:leader="none"/>
          <w:tab w:pos="8540" w:val="left" w:leader="none"/>
        </w:tabs>
        <w:widowControl w:val="1"/>
        <w:ind w:left="139"/>
      </w:pP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Alan Linkletter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 –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President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Nelson Scott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Vice-President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 Donna Van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Kroonenburg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Secretary-Treasurer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Emily MacNeil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Rec</w:t>
      </w:r>
      <w:r w:rsidR="00000000" w:rsidDel="00000000" w:rsidRPr="00000000">
        <w:rPr>
          <w:rFonts w:ascii="Calibri" w:eastAsia="Calibri" w:hAnsi="Calibri" w:cs="Calibri"/>
          <w:spacing w:val="-2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3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580" w:right="58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54248234">
    <w:lvl w:ilvl="0">
      <w:start w:val="1"/>
      <w:numFmt w:val="bullet"/>
      <w:lvlText w:val="∙"/>
      <w:lvlJc w:val="left"/>
      <w:pPr>
        <w:widowControl w:val="1"/>
        <w:ind w:left="859" w:hanging="361"/>
      </w:pPr>
      <w:rPr>
        <w:rFonts w:ascii="Symbol" w:eastAsia="Symbol" w:hAnsi="Symbol" w:cs="Symbol"/>
        <w:sz w:val="22"/>
      </w:rPr>
    </w:lvl>
    <w:lvl w:ilvl="1">
      <w:start w:val="1"/>
      <w:numFmt w:val="bullet"/>
      <w:lvlText w:val="•"/>
      <w:lvlJc w:val="left"/>
      <w:pPr>
        <w:widowControl w:val="1"/>
        <w:ind w:left="1882" w:hanging="361"/>
      </w:pPr>
      <w:rPr/>
    </w:lvl>
    <w:lvl w:ilvl="2">
      <w:start w:val="1"/>
      <w:numFmt w:val="bullet"/>
      <w:lvlText w:val="•"/>
      <w:lvlJc w:val="left"/>
      <w:pPr>
        <w:widowControl w:val="1"/>
        <w:ind w:left="2904" w:hanging="361"/>
      </w:pPr>
      <w:rPr/>
    </w:lvl>
    <w:lvl w:ilvl="3">
      <w:start w:val="1"/>
      <w:numFmt w:val="bullet"/>
      <w:lvlText w:val="•"/>
      <w:lvlJc w:val="left"/>
      <w:pPr>
        <w:widowControl w:val="1"/>
        <w:ind w:left="3925" w:hanging="361"/>
      </w:pPr>
      <w:rPr/>
    </w:lvl>
    <w:lvl w:ilvl="4">
      <w:start w:val="1"/>
      <w:numFmt w:val="bullet"/>
      <w:lvlText w:val="•"/>
      <w:lvlJc w:val="left"/>
      <w:pPr>
        <w:widowControl w:val="1"/>
        <w:ind w:left="4947" w:hanging="361"/>
      </w:pPr>
      <w:rPr/>
    </w:lvl>
    <w:lvl w:ilvl="5">
      <w:start w:val="1"/>
      <w:numFmt w:val="bullet"/>
      <w:lvlText w:val="•"/>
      <w:lvlJc w:val="left"/>
      <w:pPr>
        <w:widowControl w:val="1"/>
        <w:ind w:left="5970" w:hanging="361"/>
      </w:pPr>
      <w:rPr/>
    </w:lvl>
    <w:lvl w:ilvl="6">
      <w:start w:val="1"/>
      <w:numFmt w:val="bullet"/>
      <w:lvlText w:val="•"/>
      <w:lvlJc w:val="left"/>
      <w:pPr>
        <w:widowControl w:val="1"/>
        <w:ind w:left="6992" w:hanging="361"/>
      </w:pPr>
      <w:rPr/>
    </w:lvl>
    <w:lvl w:ilvl="7">
      <w:start w:val="1"/>
      <w:numFmt w:val="bullet"/>
      <w:lvlText w:val="•"/>
      <w:lvlJc w:val="left"/>
      <w:pPr>
        <w:widowControl w:val="1"/>
        <w:ind w:left="8013" w:hanging="361"/>
      </w:pPr>
      <w:rPr/>
    </w:lvl>
    <w:lvl w:ilvl="8">
      <w:start w:val="1"/>
      <w:numFmt w:val="bullet"/>
      <w:lvlText w:val="•"/>
      <w:lvlJc w:val="left"/>
      <w:pPr>
        <w:widowControl w:val="1"/>
        <w:ind w:left="9036" w:hanging="361"/>
      </w:pPr>
      <w:rPr/>
    </w:lvl>
  </w:abstractNum>
  <w:abstractNum w:abstractNumId="54825781">
    <w:lvl w:ilvl="0">
      <w:start w:val="1"/>
      <w:numFmt w:val="bullet"/>
      <w:lvlText w:val="∙"/>
      <w:lvlJc w:val="left"/>
      <w:pPr>
        <w:widowControl w:val="1"/>
        <w:ind w:left="859" w:hanging="361"/>
      </w:pPr>
      <w:rPr>
        <w:rFonts w:ascii="Symbol" w:eastAsia="Symbol" w:hAnsi="Symbol" w:cs="Symbol"/>
        <w:sz w:val="22"/>
      </w:rPr>
    </w:lvl>
    <w:lvl w:ilvl="1">
      <w:start w:val="1"/>
      <w:numFmt w:val="bullet"/>
      <w:lvlText w:val="•"/>
      <w:lvlJc w:val="left"/>
      <w:pPr>
        <w:widowControl w:val="1"/>
        <w:ind w:left="1882" w:hanging="361"/>
      </w:pPr>
      <w:rPr/>
    </w:lvl>
    <w:lvl w:ilvl="2">
      <w:start w:val="1"/>
      <w:numFmt w:val="bullet"/>
      <w:lvlText w:val="•"/>
      <w:lvlJc w:val="left"/>
      <w:pPr>
        <w:widowControl w:val="1"/>
        <w:ind w:left="2904" w:hanging="361"/>
      </w:pPr>
      <w:rPr/>
    </w:lvl>
    <w:lvl w:ilvl="3">
      <w:start w:val="1"/>
      <w:numFmt w:val="bullet"/>
      <w:lvlText w:val="•"/>
      <w:lvlJc w:val="left"/>
      <w:pPr>
        <w:widowControl w:val="1"/>
        <w:ind w:left="3925" w:hanging="361"/>
      </w:pPr>
      <w:rPr/>
    </w:lvl>
    <w:lvl w:ilvl="4">
      <w:start w:val="1"/>
      <w:numFmt w:val="bullet"/>
      <w:lvlText w:val="•"/>
      <w:lvlJc w:val="left"/>
      <w:pPr>
        <w:widowControl w:val="1"/>
        <w:ind w:left="4947" w:hanging="361"/>
      </w:pPr>
      <w:rPr/>
    </w:lvl>
    <w:lvl w:ilvl="5">
      <w:start w:val="1"/>
      <w:numFmt w:val="bullet"/>
      <w:lvlText w:val="•"/>
      <w:lvlJc w:val="left"/>
      <w:pPr>
        <w:widowControl w:val="1"/>
        <w:ind w:left="5970" w:hanging="361"/>
      </w:pPr>
      <w:rPr/>
    </w:lvl>
    <w:lvl w:ilvl="6">
      <w:start w:val="1"/>
      <w:numFmt w:val="bullet"/>
      <w:lvlText w:val="•"/>
      <w:lvlJc w:val="left"/>
      <w:pPr>
        <w:widowControl w:val="1"/>
        <w:ind w:left="6992" w:hanging="361"/>
      </w:pPr>
      <w:rPr/>
    </w:lvl>
    <w:lvl w:ilvl="7">
      <w:start w:val="1"/>
      <w:numFmt w:val="bullet"/>
      <w:lvlText w:val="•"/>
      <w:lvlJc w:val="left"/>
      <w:pPr>
        <w:widowControl w:val="1"/>
        <w:ind w:left="8013" w:hanging="361"/>
      </w:pPr>
      <w:rPr/>
    </w:lvl>
    <w:lvl w:ilvl="8">
      <w:start w:val="1"/>
      <w:numFmt w:val="bullet"/>
      <w:lvlText w:val="•"/>
      <w:lvlJc w:val="left"/>
      <w:pPr>
        <w:widowControl w:val="1"/>
        <w:ind w:left="9036" w:hanging="361"/>
      </w:pPr>
      <w:rPr/>
    </w:lvl>
  </w:abstractNum>
  <w:num w:numId="1">
    <w:abstractNumId w:val="54248234"/>
  </w:num>
  <w:num w:numId="61490945">
    <w:abstractNumId w:val="54825781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styleId="BodyText">
    <w:name w:val="Body Text"/>
    <w:uiPriority w:val="1"/>
    <w:basedOn w:val="Normal"/>
    <w:next w:val="BodyText"/>
    <w:pPr>
      <w:widowControl w:val="1"/>
      <w:ind w:left="859" w:hanging="360"/>
    </w:pPr>
    <w:rPr>
      <w:rFonts w:ascii="Calibri" w:eastAsia="Calibri" w:hAnsi="Calibri" w:cs="Calibri"/>
    </w:rPr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Heading1"/>
    <w:pPr>
      <w:spacing w:before="56.0"/>
      <w:widowControl w:val="1"/>
      <w:ind w:left="139"/>
    </w:pPr>
    <w:rPr>
      <w:b w:val="true"/>
      <w:rFonts w:ascii="Calibri" w:eastAsia="Calibri" w:hAnsi="Calibri" w:cs="Calibri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