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32.0"/>
        </w:rPr>
        <w:jc w:val="center"/>
        <w:widowControl w:val="1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3048000" cy="1219200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19200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36.0"/>
        </w:rPr>
        <w:jc w:val="center"/>
        <w:widowControl w:val="1"/>
      </w:pPr>
      <w:r w:rsidR="00000000" w:rsidDel="00000000" w:rsidRPr="00000000">
        <w:pict>
          <v:shape xmlns:v="urn:schemas-microsoft-com:vml" fillcolor="#FFFFFF" strokecolor="#000000" strokeweight="0.75pt" id="_x0000_s102" style="mso-wrap-style:square;z-index:251659264;position:absolute;mso-wrap-distance-top:0.0pt;mso-wrap-distance-right:0.0pt;mso-wrap-distance-left:0.0pt;mso-wrap-distance-bottom:0.0pt;mso-position-horizontal-relative:text;margin-left:0.0pt;mso-position-horizontal:absolute;mso-position-vertical-relative:text;margin-top:34.5pt;mso-position-vertical:absolute;width:475.5pt;height:0.0pt;" type="#_x0000_t20">
            <v:stroke dashstyle="solid"/>
          </v:shape>
        </w:pict>
      </w:r>
      <w:r w:rsidR="00000000" w:rsidDel="00000000" w:rsidRPr="00000000">
        <w:rPr>
          <w:b w:val="true"/>
          <w:rFonts w:ascii="Berlin Sans FB Demi" w:eastAsia="Berlin Sans FB Demi" w:hAnsi="Berlin Sans FB Demi" w:cs="Berlin Sans FB Demi"/>
          <w:sz w:val="36.0"/>
        </w:rPr>
        <w:t xml:space="preserve">SOLIDARITY </w:t>
      </w:r>
      <w:r w:rsidR="00000000" w:rsidDel="00000000" w:rsidRPr="00000000">
        <w:rPr>
          <w:b w:val="true"/>
          <w:rFonts w:ascii="Berlin Sans FB Demi" w:eastAsia="Berlin Sans FB Demi" w:hAnsi="Berlin Sans FB Demi" w:cs="Berlin Sans FB Demi"/>
          <w:sz w:val="36.0"/>
        </w:rPr>
        <w:t xml:space="preserve">CONVENTION </w:t>
      </w:r>
      <w:r w:rsidR="00000000" w:rsidDel="00000000" w:rsidRPr="00000000">
        <w:rPr>
          <w:b w:val="true"/>
          <w:rFonts w:ascii="Berlin Sans FB Demi" w:eastAsia="Berlin Sans FB Demi" w:hAnsi="Berlin Sans FB Demi" w:cs="Berlin Sans FB Demi"/>
          <w:sz w:val="36.0"/>
        </w:rPr>
        <w:t xml:space="preserve">ASSISTANCE FUN</w:t>
      </w:r>
      <w:r w:rsidR="00000000" w:rsidDel="00000000" w:rsidRPr="00000000">
        <w:rPr>
          <w:b w:val="true"/>
          <w:rFonts w:ascii="Berlin Sans FB Demi" w:eastAsia="Berlin Sans FB Demi" w:hAnsi="Berlin Sans FB Demi" w:cs="Berlin Sans FB Demi"/>
          <w:sz w:val="36.0"/>
        </w:rPr>
        <w:t xml:space="preserve">D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20.0"/>
        </w:rPr>
        <w:tabs>
          <w:tab w:pos="4680" w:val="center" w:leader="none"/>
          <w:tab w:pos="9360" w:val="right" w:leader="none"/>
        </w:tabs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  <w:sz w:val="24.0"/>
          <w:u w:val="single"/>
        </w:rPr>
        <w:widowControl w:val="1"/>
      </w:pPr>
      <w:r w:rsidR="00000000" w:rsidDel="00000000" w:rsidRPr="00000000">
        <w:rPr>
          <w:b w:val="true"/>
          <w:rFonts w:ascii="Tahoma" w:eastAsia="Tahoma" w:hAnsi="Tahoma" w:cs="Tahoma"/>
          <w:sz w:val="24.0"/>
          <w:u w:val="single"/>
        </w:rPr>
        <w:t xml:space="preserve">GUIDELINES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/>
        <w:rPr>
          <w:rFonts w:ascii="Tahoma" w:eastAsia="Tahoma" w:hAnsi="Tahoma" w:cs="Tahoma"/>
          <w:sz w:val="24.0"/>
        </w:rPr>
        <w:jc w:val="both"/>
        <w:numPr>
          <w:ilvl w:val="0"/>
          <w:numId w:val="1"/>
        </w:numPr>
        <w:widowControl w:val="1"/>
        <w:ind w:left="720" w:hanging="72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An amount equal to the donations received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from Affiliated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ocals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at the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D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ivision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onvention each year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will be allocated to the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Solidarity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Convention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Assistance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Fund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,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to assist smaller Affiliated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ocals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to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attend the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next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CUPE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Nova Scotia Division Conventi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1"/>
        </w:numPr>
        <w:widowControl w:val="1"/>
        <w:ind w:left="720" w:hanging="72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Affiliated Local Unions will be eligible to apply for assistance towards the cost of sending one delegate and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alternate.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 Affiliated Locals accepting assistance from the Fund will not be eligi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ble to send any other delegates.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1"/>
        </w:numPr>
        <w:widowControl w:val="1"/>
        <w:ind w:left="720" w:hanging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Affiliated Local Unions applying for assistance from the Fund must meet all established criteria to be declared an eligible 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1"/>
        </w:numPr>
        <w:widowControl w:val="1"/>
        <w:ind w:left="720" w:hanging="72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Eligible Affiliated 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ocals will be entitled to receive: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tabs>
          <w:tab w:pos="1169" w:val="left" w:leader="none"/>
        </w:tabs>
        <w:numPr>
          <w:ilvl w:val="0"/>
          <w:numId w:val="2"/>
        </w:numPr>
        <w:widowControl w:val="1"/>
        <w:ind w:left="108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qual shares of available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monies; or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tabs>
          <w:tab w:pos="1620" w:val="left" w:leader="none"/>
        </w:tabs>
        <w:widowControl w:val="1"/>
        <w:ind w:left="1169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tabs>
          <w:tab w:pos="1169" w:val="left" w:leader="none"/>
        </w:tabs>
        <w:numPr>
          <w:ilvl w:val="0"/>
          <w:numId w:val="2"/>
        </w:numPr>
        <w:widowControl w:val="1"/>
        <w:ind w:left="108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reimbursement of the following expenses: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tabs>
          <w:tab w:pos="1169" w:val="left" w:leader="none"/>
        </w:tabs>
        <w:widowControl w:val="1"/>
        <w:ind w:left="108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1620" w:val="left" w:leader="none"/>
        </w:tabs>
        <w:widowControl w:val="1"/>
        <w:ind w:left="2160" w:hanging="1440"/>
      </w:pP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4.0"/>
        </w:rPr>
        <w:t xml:space="preserve">(i) </w:t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4.0"/>
        </w:rPr>
        <w:t xml:space="preserve">100% of eligible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travel costs (as per CUPE 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.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S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.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xpense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P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olicies) to and from the location w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here the Convention takes place;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1620" w:val="left" w:leader="none"/>
        </w:tabs>
        <w:widowControl w:val="1"/>
        <w:ind w:left="2160" w:hanging="144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2160" w:val="left" w:leader="none"/>
        </w:tabs>
        <w:widowControl w:val="1"/>
        <w:ind w:left="72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           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(ii) </w:t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4.0"/>
        </w:rPr>
        <w:t xml:space="preserve">Accommodations will be booked by CUPE Nova Scotia 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2160" w:val="left" w:leader="none"/>
        </w:tabs>
        <w:widowControl w:val="0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2160" w:val="left" w:leader="none"/>
        </w:tabs>
        <w:widowControl w:val="1"/>
        <w:ind w:left="72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          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(iii) </w:t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4.0"/>
        </w:rPr>
        <w:t xml:space="preserve">100% of lost wages and benefit costs on case by case basis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2160" w:val="left" w:leader="none"/>
        </w:tabs>
        <w:widowControl w:val="1"/>
        <w:ind w:left="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widowControl w:val="1"/>
        <w:ind w:firstLine="720"/>
      </w:pP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(iv)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100% of meal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per diem as per CUPE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N.S. 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xpense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P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olicy; and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widowControl w:val="1"/>
        <w:ind w:firstLine="7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1620" w:val="left" w:leader="none"/>
        </w:tabs>
        <w:widowControl w:val="1"/>
        <w:ind w:firstLine="720"/>
      </w:pP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4.0"/>
        </w:rPr>
        <w:t xml:space="preserve">(v) </w:t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4.0"/>
        </w:rPr>
        <w:t xml:space="preserve">100% of registration fee.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1620" w:val="left" w:leader="none"/>
        </w:tabs>
        <w:widowControl w:val="1"/>
        <w:ind w:firstLine="7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1620" w:val="left" w:leader="none"/>
        </w:tabs>
        <w:widowControl w:val="1"/>
        <w:ind w:firstLine="7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rFonts w:ascii="Tahoma" w:eastAsia="Tahoma" w:hAnsi="Tahoma" w:cs="Tahoma"/>
          <w:sz w:val="24.0"/>
        </w:rPr>
        <w:jc w:val="both"/>
        <w:tabs>
          <w:tab w:pos="1620" w:val="left" w:leader="none"/>
        </w:tabs>
        <w:widowControl w:val="1"/>
        <w:ind w:firstLine="7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b w:val="true"/>
          <w:rFonts w:ascii="Tahoma" w:eastAsia="Tahoma" w:hAnsi="Tahoma" w:cs="Tahoma"/>
          <w:sz w:val="24.0"/>
          <w:u w:val="single"/>
        </w:rPr>
        <w:widowControl w:val="1"/>
      </w:pPr>
      <w:r w:rsidR="00000000" w:rsidDel="00000000" w:rsidRPr="00000000">
        <w:rPr>
          <w:b w:val="true"/>
          <w:rFonts w:ascii="Tahoma" w:eastAsia="Tahoma" w:hAnsi="Tahoma" w:cs="Tahoma"/>
          <w:sz w:val="24.0"/>
          <w:u w:val="single"/>
        </w:rPr>
        <w:t xml:space="preserve">ELIGIBILITY C</w:t>
      </w:r>
      <w:r w:rsidR="00000000" w:rsidDel="00000000" w:rsidRPr="00000000">
        <w:rPr>
          <w:b w:val="true"/>
          <w:rFonts w:ascii="Tahoma" w:eastAsia="Tahoma" w:hAnsi="Tahoma" w:cs="Tahoma"/>
          <w:sz w:val="24.0"/>
          <w:u w:val="single"/>
        </w:rPr>
        <w:t xml:space="preserve">RITERIA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b w:val="true"/>
          <w:rFonts w:ascii="Tahoma" w:eastAsia="Tahoma" w:hAnsi="Tahoma" w:cs="Tahoma"/>
          <w:sz w:val="24.0"/>
          <w:u w:val="singl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b w:val="true"/>
          <w:rFonts w:ascii="Tahoma" w:eastAsia="Tahoma" w:hAnsi="Tahoma" w:cs="Tahoma"/>
          <w:sz w:val="24.0"/>
        </w:rPr>
        <w:widowControl w:val="1"/>
      </w:pPr>
      <w:r w:rsidR="00000000" w:rsidDel="00000000" w:rsidRPr="00000000">
        <w:rPr>
          <w:b w:val="true"/>
          <w:rFonts w:ascii="Tahoma" w:eastAsia="Tahoma" w:hAnsi="Tahoma" w:cs="Tahoma"/>
          <w:sz w:val="24.0"/>
        </w:rPr>
        <w:t xml:space="preserve">All</w:t>
      </w:r>
      <w:r w:rsidR="00000000" w:rsidDel="00000000" w:rsidRPr="00000000">
        <w:rPr>
          <w:b w:val="true"/>
          <w:rFonts w:ascii="Tahoma" w:eastAsia="Tahoma" w:hAnsi="Tahoma" w:cs="Tahoma"/>
          <w:sz w:val="24.0"/>
        </w:rPr>
        <w:t xml:space="preserve"> the following conditions must be met: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 w:lineRule="auto" w:after="0.0"/>
        <w:rPr>
          <w:b w:val="true"/>
          <w:rFonts w:ascii="Tahoma" w:eastAsia="Tahoma" w:hAnsi="Tahoma" w:cs="Tahoma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The Affiliated 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 must have an income-related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U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nion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D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ues structure in conformity with Article B.4.3 of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the CUPE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National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Constitution.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At the time of application, the Affiliated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U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nion must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follow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the constitutional p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rovisions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governing P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er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apita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ax obligations to the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National Union.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A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 the time of application, the Affiliated Local U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nion must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follow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the const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itutional provisions governing P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er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Capita 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ax obligations to CUPE Nova Scotia.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Trustees Reports for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the 12-month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perio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d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January to December prior to 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onvention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must be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included with the application.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he Affiliated 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U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nion must provide the Division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Secretary-Treasurer with copies of the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ocal's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monthly financial reports, duly adopted at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G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enera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l M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mbership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M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eetings,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three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months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p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rior to February 1</w:t>
      </w:r>
      <w:r w:rsidR="00000000" w:rsidDel="00000000" w:rsidRPr="00000000">
        <w:rPr>
          <w:rFonts w:ascii="Tahoma" w:eastAsia="Tahoma" w:hAnsi="Tahoma" w:cs="Tahoma"/>
          <w:sz w:val="24.0"/>
          <w:vertAlign w:val="superscript"/>
        </w:rPr>
        <w:t xml:space="preserve">st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of the 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onvention year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Over the 12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-month period, from January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to December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of the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year prior to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the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, the average financial assets of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the Affiliated Local U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ni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 must be less than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two (2)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times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the cost of sending a delegate to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on.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The cost of sending a delegate to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shall be based on the estimated cost to the Affiliated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of the delegate's lost wages and benefits, established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 hotel rate, travel cost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, per diem and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registration fee.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For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newly-established 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ocals,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finan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cial assets will be averaged from the month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of the Affiliated 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ocal's first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P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er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apita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ax payment to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February of the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onvention year.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First consideration will be given to Affiliated Local Unions that have no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 received assistance to prior 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onventions.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Applications for assista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nce must be made on an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official application provided by the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Division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Secr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etary-Treasurer, signed by the Affiliated Local U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nion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President and S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ecretary or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reasurer, and received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by the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Division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Secretary-Treasurer no later than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March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15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th</w:t>
      </w:r>
      <w:r w:rsidR="00000000" w:rsidDel="00000000" w:rsidRPr="00000000">
        <w:rPr>
          <w:b w:val="true"/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of the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C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onvention year.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All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required documentation must be received by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4.0"/>
        </w:rPr>
        <w:t xml:space="preserve">this date for applications to be considered.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All Solidarity Assistance Applications will be brought to the Executive Board for approval. 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/>
        <w:rPr>
          <w:rFonts w:ascii="Tahoma" w:eastAsia="Tahoma" w:hAnsi="Tahoma" w:cs="Tahoma"/>
          <w:sz w:val="24.0"/>
        </w:rPr>
        <w:jc w:val="both"/>
        <w:widowControl w:val="1"/>
        <w:ind w:left="360" w:hanging="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numPr>
          <w:ilvl w:val="0"/>
          <w:numId w:val="4"/>
        </w:numPr>
        <w:widowControl w:val="1"/>
        <w:ind w:left="720" w:hanging="360"/>
      </w:pPr>
      <w:r w:rsidR="00000000" w:rsidDel="00000000" w:rsidRPr="00000000">
        <w:rPr>
          <w:rFonts w:ascii="Tahoma" w:eastAsia="Tahoma" w:hAnsi="Tahoma" w:cs="Tahoma"/>
          <w:sz w:val="24.0"/>
        </w:rPr>
        <w:t xml:space="preserve">The CUPE NS Secretary Treasurer will notify the Affiliated Locals that will be supported by this fund by March 30th.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/>
        <w:rPr>
          <w:rFonts w:ascii="Tahoma" w:eastAsia="Tahoma" w:hAnsi="Tahoma" w:cs="Tahoma"/>
          <w:sz w:val="24.0"/>
        </w:rPr>
        <w:jc w:val="both"/>
        <w:widowControl w:val="1"/>
        <w:ind w:left="360" w:hanging="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rPr>
          <w:b w:val="true"/>
        </w:rPr>
        <w:widowControl w:val="1"/>
      </w:pPr>
      <w:r w:rsidR="00000000" w:rsidDel="00000000" w:rsidRPr="00000000">
        <w:rPr>
          <w:b w:val="true"/>
        </w:rPr>
        <w:t xml:space="preserve">Policy reviewed and revised on February 11th, 2026</w:t>
      </w: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after="0.0" w:before="0.0"/>
        <w:rPr>
          <w:rFonts w:ascii="Tahoma" w:eastAsia="Tahoma" w:hAnsi="Tahoma" w:cs="Tahoma"/>
          <w:sz w:val="24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ColorfulListAccent1"/>
        <w:spacing w:line="240.0" w:lineRule="auto" w:after="0.0" w:before="0.0"/>
        <w:rPr>
          <w:rFonts w:ascii="Tahoma" w:eastAsia="Tahoma" w:hAnsi="Tahoma" w:cs="Tahoma"/>
          <w:sz w:val="24.0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i w:val="true"/>
        </w:rPr>
        <w:jc w:val="right"/>
        <w:widowControl w:val="1"/>
      </w:pPr>
      <w:r w:rsidR="00000000" w:rsidDel="00000000" w:rsidRPr="00000000">
        <w:rPr>
          <w:rFonts w:ascii="Eras Medium ITC" w:eastAsia="Eras Medium ITC" w:hAnsi="Eras Medium ITC" w:cs="Eras Medium ITC"/>
          <w:i w:val="true"/>
          <w:sz w:val="18.0"/>
        </w:rPr>
        <w:t xml:space="preserve">:ms/</w:t>
      </w:r>
      <w:r w:rsidR="00000000" w:rsidDel="00000000" w:rsidRPr="00000000">
        <w:rPr>
          <w:rFonts w:ascii="Eras Medium ITC" w:eastAsia="Eras Medium ITC" w:hAnsi="Eras Medium ITC" w:cs="Eras Medium ITC"/>
          <w:i w:val="true"/>
          <w:sz w:val="18.0"/>
        </w:rPr>
        <w:t xml:space="preserve">cope491</w: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nextPage"/>
      <w:pgSz w:w="12240" w:orient="portrait" w:h="15840"/>
      <w:pgMar w:header="720" w:bottom="1440" w:left="1440" w:right="1260" w:top="1080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91c7427d-ab69-781a-2020-09f973eed266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Fonts w:ascii="Cambria" w:eastAsia="Cambria" w:hAnsi="Cambria" w:cs="Cambria"/>
        <w:sz w:val="18.0"/>
      </w:rPr>
      <w:pBdr>
        <w:top w:val="single" w:color="622423" w:sz="24" w:space="1"/>
      </w:pBdr>
      <w:tabs>
        <w:tab w:pos="9360" w:val="right" w:leader="none"/>
      </w:tabs>
      <w:widowControl w:val="1"/>
    </w:pPr>
    <w:r w:rsidR="00000000" w:rsidDel="00000000" w:rsidRPr="00000000">
      <w:rPr/>
      <w:tab/>
    </w:r>
    <w:r w:rsidR="00000000" w:rsidDel="00000000" w:rsidRPr="00000000">
      <w:rPr>
        <w:rFonts w:ascii="Cambria" w:eastAsia="Cambria" w:hAnsi="Cambria" w:cs="Cambria"/>
        <w:sz w:val="18.0"/>
      </w:rPr>
      <w:t xml:space="preserve">Page </w:t>
    </w:r>
    <w:r w:rsidR="00000000" w:rsidDel="00000000" w:rsidRPr="00000000">
      <w:rPr>
        <w:rFonts w:ascii="Cambria" w:eastAsia="Cambria" w:hAnsi="Cambria" w:cs="Cambria"/>
        <w:sz w:val="18.0"/>
      </w:rPr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54333204">
    <w:lvl w:ilvl="0">
      <w:start w:val="1"/>
      <w:numFmt w:val="decimal"/>
      <w:lvlText w:val="%1."/>
      <w:lvlJc w:val="left"/>
      <w:pPr>
        <w:widowControl w:val="1"/>
        <w:ind w:left="720" w:hanging="360"/>
      </w:pPr>
      <w:rPr/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35607041">
    <w:lvl w:ilvl="0">
      <w:start w:val="1"/>
      <w:numFmt w:val="decimal"/>
      <w:lvlText w:val="%1."/>
      <w:lvlJc w:val="left"/>
      <w:pPr>
        <w:widowControl w:val="1"/>
        <w:ind w:left="720" w:hanging="360"/>
      </w:pPr>
      <w:rPr/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12726688">
    <w:lvl w:ilvl="0">
      <w:start w:val="1"/>
      <w:numFmt w:val="decimal"/>
      <w:lvlText w:val="%1."/>
      <w:lvlJc w:val="left"/>
      <w:pPr>
        <w:widowControl w:val="1"/>
        <w:ind w:left="360" w:hanging="360"/>
      </w:pPr>
      <w:rPr/>
    </w:lvl>
    <w:lvl w:ilvl="1">
      <w:start w:val="1"/>
      <w:numFmt w:val="lowerLetter"/>
      <w:lvlText w:val="%2."/>
      <w:lvlJc w:val="left"/>
      <w:pPr>
        <w:widowControl w:val="1"/>
        <w:ind w:left="1080" w:hanging="360"/>
      </w:pPr>
    </w:lvl>
    <w:lvl w:ilvl="2">
      <w:start w:val="1"/>
      <w:numFmt w:val="lowerRoman"/>
      <w:lvlText w:val="%3."/>
      <w:lvlJc w:val="left"/>
      <w:pPr>
        <w:widowControl w:val="1"/>
        <w:ind w:left="1800" w:hanging="180"/>
      </w:pPr>
    </w:lvl>
    <w:lvl w:ilvl="3">
      <w:start w:val="1"/>
      <w:numFmt w:val="decimal"/>
      <w:lvlText w:val="%4."/>
      <w:lvlJc w:val="left"/>
      <w:pPr>
        <w:widowControl w:val="1"/>
        <w:ind w:left="2520" w:hanging="360"/>
      </w:pPr>
    </w:lvl>
    <w:lvl w:ilvl="4">
      <w:start w:val="1"/>
      <w:numFmt w:val="lowerLetter"/>
      <w:lvlText w:val="%5."/>
      <w:lvlJc w:val="left"/>
      <w:pPr>
        <w:widowControl w:val="1"/>
        <w:ind w:left="3240" w:hanging="360"/>
      </w:pPr>
    </w:lvl>
    <w:lvl w:ilvl="5">
      <w:start w:val="1"/>
      <w:numFmt w:val="lowerRoman"/>
      <w:lvlText w:val="%6."/>
      <w:lvlJc w:val="left"/>
      <w:pPr>
        <w:widowControl w:val="1"/>
        <w:ind w:left="3960" w:hanging="180"/>
      </w:pPr>
    </w:lvl>
    <w:lvl w:ilvl="6">
      <w:start w:val="1"/>
      <w:numFmt w:val="decimal"/>
      <w:lvlText w:val="%7."/>
      <w:lvlJc w:val="left"/>
      <w:pPr>
        <w:widowControl w:val="1"/>
        <w:ind w:left="4680" w:hanging="360"/>
      </w:pPr>
    </w:lvl>
    <w:lvl w:ilvl="7">
      <w:start w:val="1"/>
      <w:numFmt w:val="lowerLetter"/>
      <w:lvlText w:val="%8."/>
      <w:lvlJc w:val="left"/>
      <w:pPr>
        <w:widowControl w:val="1"/>
        <w:ind w:left="5400" w:hanging="360"/>
      </w:pPr>
    </w:lvl>
    <w:lvl w:ilvl="8">
      <w:start w:val="1"/>
      <w:numFmt w:val="lowerRoman"/>
      <w:lvlText w:val="%9."/>
      <w:lvlJc w:val="left"/>
      <w:pPr>
        <w:widowControl w:val="1"/>
        <w:ind w:left="6120" w:hanging="180"/>
      </w:pPr>
    </w:lvl>
  </w:abstractNum>
  <w:abstractNum w:abstractNumId="33208516">
    <w:lvl w:ilvl="0">
      <w:start w:val="1"/>
      <w:numFmt w:val="bullet"/>
      <w:lvlText w:val="%1."/>
      <w:lvlJc w:val="left"/>
      <w:pPr>
        <w:tabs>
          <w:tab w:pos="0" w:val="left" w:leader="none"/>
        </w:tabs>
        <w:widowControl w:val="1"/>
        <w:ind w:left="0" w:hanging="0"/>
      </w:pPr>
      <w:rPr>
        <w:rFonts w:ascii="Symbol" w:eastAsia="Symbol" w:hAnsi="Symbol" w:cs="Symbol"/>
      </w:rPr>
    </w:lvl>
    <w:lvl w:ilvl="1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1080" w:hanging="360"/>
      </w:pPr>
      <w:rPr>
        <w:rFonts w:ascii="Symbol" w:eastAsia="Symbol" w:hAnsi="Symbol" w:cs="Symbol"/>
      </w:rPr>
    </w:lvl>
    <w:lvl w:ilvl="2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pos="2160" w:val="left" w:leader="none"/>
        </w:tabs>
        <w:widowControl w:val="1"/>
        <w:ind w:left="2520" w:hanging="360"/>
      </w:pPr>
      <w:rPr>
        <w:rFonts w:ascii="Wingdings" w:eastAsia="Wingdings" w:hAnsi="Wingdings" w:cs="Wingdings"/>
      </w:rPr>
    </w:lvl>
    <w:lvl w:ilvl="4">
      <w:start w:val="1"/>
      <w:numFmt w:val="bullet"/>
      <w:lvlText w:val=""/>
      <w:lvlJc w:val="left"/>
      <w:pPr>
        <w:tabs>
          <w:tab w:pos="2880" w:val="left" w:leader="none"/>
        </w:tabs>
        <w:widowControl w:val="1"/>
        <w:ind w:left="3240" w:hanging="360"/>
      </w:pPr>
      <w:rPr>
        <w:rFonts w:ascii="Wingdings" w:eastAsia="Wingdings" w:hAnsi="Wingdings" w:cs="Wingdings"/>
      </w:rPr>
    </w:lvl>
    <w:lvl w:ilvl="5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960" w:hanging="360"/>
      </w:pPr>
      <w:rPr>
        <w:rFonts w:ascii="Symbol" w:eastAsia="Symbol" w:hAnsi="Symbol" w:cs="Symbol"/>
      </w:rPr>
    </w:lvl>
    <w:lvl w:ilvl="6">
      <w:start w:val="1"/>
      <w:numFmt w:val="bullet"/>
      <w:lvlText w:val="o"/>
      <w:lvlJc w:val="left"/>
      <w:pPr>
        <w:tabs>
          <w:tab w:pos="4320" w:val="left" w:leader="none"/>
        </w:tabs>
        <w:widowControl w:val="1"/>
        <w:ind w:left="468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pos="5040" w:val="left" w:leader="none"/>
        </w:tabs>
        <w:widowControl w:val="1"/>
        <w:ind w:left="5400" w:hanging="360"/>
      </w:pPr>
      <w:rPr>
        <w:rFonts w:ascii="Wingdings" w:eastAsia="Wingdings" w:hAnsi="Wingdings" w:cs="Wingdings"/>
      </w:rPr>
    </w:lvl>
    <w:lvl w:ilvl="8">
      <w:start w:val="1"/>
      <w:numFmt w:val="bullet"/>
      <w:lvlText w:val=""/>
      <w:lvlJc w:val="left"/>
      <w:pPr>
        <w:tabs>
          <w:tab w:pos="5760" w:val="left" w:leader="none"/>
        </w:tabs>
        <w:widowControl w:val="1"/>
        <w:ind w:left="6120" w:hanging="360"/>
      </w:pPr>
      <w:rPr>
        <w:rFonts w:ascii="Wingdings" w:eastAsia="Wingdings" w:hAnsi="Wingdings" w:cs="Wingdings"/>
      </w:rPr>
    </w:lvl>
  </w:abstractNum>
  <w:abstractNum w:abstractNumId="94850695">
    <w:lvl w:ilvl="0">
      <w:start w:val="1"/>
      <w:numFmt w:val="decimal"/>
      <w:lvlText w:val="%1."/>
      <w:lvlJc w:val="left"/>
      <w:pPr>
        <w:widowControl w:val="1"/>
        <w:ind w:left="720" w:hanging="360"/>
      </w:pPr>
      <w:rPr/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91457304">
    <w:lvl w:ilvl="0">
      <w:start w:val="1"/>
      <w:numFmt w:val="lowerLetter"/>
      <w:lvlText w:val="%1."/>
      <w:lvlJc w:val="left"/>
      <w:pPr>
        <w:widowControl w:val="1"/>
        <w:ind w:left="1080" w:hanging="360"/>
      </w:pPr>
    </w:lvl>
    <w:lvl w:ilvl="1">
      <w:start w:val="1"/>
      <w:numFmt w:val="lowerLetter"/>
      <w:lvlText w:val="%2."/>
      <w:lvlJc w:val="left"/>
      <w:pPr>
        <w:widowControl w:val="1"/>
        <w:ind w:left="1800" w:hanging="360"/>
      </w:pPr>
    </w:lvl>
    <w:lvl w:ilvl="2">
      <w:start w:val="1"/>
      <w:numFmt w:val="lowerRoman"/>
      <w:lvlText w:val="%3."/>
      <w:lvlJc w:val="left"/>
      <w:pPr>
        <w:widowControl w:val="1"/>
        <w:ind w:left="2520" w:hanging="180"/>
      </w:pPr>
    </w:lvl>
    <w:lvl w:ilvl="3">
      <w:start w:val="1"/>
      <w:numFmt w:val="decimal"/>
      <w:lvlText w:val="%4."/>
      <w:lvlJc w:val="left"/>
      <w:pPr>
        <w:widowControl w:val="1"/>
        <w:ind w:left="3240" w:hanging="360"/>
      </w:pPr>
    </w:lvl>
    <w:lvl w:ilvl="4">
      <w:start w:val="1"/>
      <w:numFmt w:val="lowerLetter"/>
      <w:lvlText w:val="%5."/>
      <w:lvlJc w:val="left"/>
      <w:pPr>
        <w:widowControl w:val="1"/>
        <w:ind w:left="3960" w:hanging="360"/>
      </w:pPr>
    </w:lvl>
    <w:lvl w:ilvl="5">
      <w:start w:val="1"/>
      <w:numFmt w:val="lowerRoman"/>
      <w:lvlText w:val="%6."/>
      <w:lvlJc w:val="left"/>
      <w:pPr>
        <w:widowControl w:val="1"/>
        <w:ind w:left="4680" w:hanging="180"/>
      </w:pPr>
    </w:lvl>
    <w:lvl w:ilvl="6">
      <w:start w:val="1"/>
      <w:numFmt w:val="decimal"/>
      <w:lvlText w:val="%7."/>
      <w:lvlJc w:val="left"/>
      <w:pPr>
        <w:widowControl w:val="1"/>
        <w:ind w:left="5400" w:hanging="360"/>
      </w:pPr>
    </w:lvl>
    <w:lvl w:ilvl="7">
      <w:start w:val="1"/>
      <w:numFmt w:val="lowerLetter"/>
      <w:lvlText w:val="%8."/>
      <w:lvlJc w:val="left"/>
      <w:pPr>
        <w:widowControl w:val="1"/>
        <w:ind w:left="6120" w:hanging="360"/>
      </w:pPr>
    </w:lvl>
    <w:lvl w:ilvl="8">
      <w:start w:val="1"/>
      <w:numFmt w:val="lowerRoman"/>
      <w:lvlText w:val="%9."/>
      <w:lvlJc w:val="left"/>
      <w:pPr>
        <w:widowControl w:val="1"/>
        <w:ind w:left="6840" w:hanging="180"/>
      </w:pPr>
    </w:lvl>
  </w:abstractNum>
  <w:abstractNum w:abstractNumId="8291204">
    <w:lvl w:ilvl="0">
      <w:start w:val="1"/>
      <w:numFmt w:val="decimal"/>
      <w:lvlText w:val="%1."/>
      <w:lvlJc w:val="left"/>
      <w:pPr>
        <w:widowControl w:val="1"/>
        <w:ind w:left="720" w:hanging="360"/>
      </w:pPr>
      <w:rPr/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num w:numId="1">
    <w:abstractNumId w:val="94850695"/>
  </w:num>
  <w:num w:numId="2">
    <w:abstractNumId w:val="91457304"/>
  </w:num>
  <w:num w:numId="3">
    <w:abstractNumId w:val="12726688"/>
  </w:num>
  <w:num w:numId="26674266">
    <w:abstractNumId w:val="35607041"/>
  </w:num>
  <w:num w:numId="4">
    <w:abstractNumId w:val="8291204"/>
  </w:num>
  <w:num w:numId="5">
    <w:abstractNumId w:val="33208516"/>
  </w:num>
  <w:num w:numId="73171114">
    <w:abstractNumId w:val="54333204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75.9999942779541" w:lineRule="auto" w:after="20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75.9999942779541" w:lineRule="auto" w:after="200.0"/>
      <w:widowControl w:val="1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BalloonText">
    <w:name w:val="Balloon Text"/>
    <w:uiPriority w:val="1"/>
    <w:basedOn w:val="Normal"/>
    <w:next w:val="BalloonText"/>
    <w:pPr>
      <w:spacing w:line="240.0" w:lineRule="auto" w:after="0.0"/>
      <w:widowControl w:val="1"/>
    </w:pPr>
    <w:rPr>
      <w:rFonts w:ascii="Tahoma" w:eastAsia="Tahoma" w:hAnsi="Tahoma" w:cs="Tahoma"/>
      <w:sz w:val="16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A3A2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A3A2A" w:themeColor="dark2"/>
      <w:sz w:val="20"/>
    </w:rPr>
    <w:unhideWhenUsed/>
    <w:qFormat/>
  </w:style>
  <w:style w:type="paragraph" w:styleId="footer">
    <w:name w:val="footer"/>
    <w:uiPriority w:val="1"/>
    <w:basedOn w:val="Normal"/>
    <w:next w:val="footer"/>
    <w:pPr>
      <w:spacing w:line="240.0" w:lineRule="auto" w:after="0.0"/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header">
    <w:name w:val="header"/>
    <w:uiPriority w:val="1"/>
    <w:basedOn w:val="Normal"/>
    <w:next w:val="header"/>
    <w:pPr>
      <w:spacing w:line="240.0" w:lineRule="auto" w:after="0.0"/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ColorfulListAccent1">
    <w:name w:val="Colorful List Accent 1"/>
    <w:uiPriority w:val="1"/>
    <w:basedOn w:val="Normal"/>
    <w:next w:val="ColorfulListAccent1"/>
    <w:pPr>
      <w:widowControl w:val="1"/>
      <w:ind w:left="720"/>
    </w:pPr>
    <w:rPr/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erChar">
    <w:name w:val="Header Char"/>
    <w:uiPriority w:val="1"/>
    <w:basedOn w:val="DefaultParagraphFont"/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FooterChar">
    <w:name w:val="Footer Char"/>
    <w:uiPriority w:val="1"/>
    <w:basedOn w:val="DefaultParagraphFont"/>
    <w:rPr/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BalloonTextChar">
    <w:name w:val="Balloon Text Char"/>
    <w:uiPriority w:val="1"/>
    <w:rPr>
      <w:rFonts w:ascii="Tahoma" w:eastAsia="Tahoma" w:hAnsi="Tahoma" w:cs="Tahoma"/>
      <w:sz w:val="16"/>
    </w:rPr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_rels/fontTable.xml.rels><?xml version='1.0' encoding='UTF-8' ?><Relationships xmlns="http://schemas.openxmlformats.org/package/2006/relationships"><Relationship Id="rId91c7427d-ab69-781a-2020-09f973eed266" Target="fonts/Roboto.ttf" Type="http://schemas.openxmlformats.org/officeDocument/2006/relationships/font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